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29408-2022 i Vilhelmina kommun</w:t>
      </w:r>
    </w:p>
    <w:p>
      <w:r>
        <w:t>Detta dokument behandlar höga naturvärden i avverkningsanmälan A 29408-2022 i Vilhelmina kommun. Denna avverkningsanmälan inkom 2022-07-11 00:00:00 och omfattar 17,1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52 naturvårdsarter hittats: njurlavsknapp (EN), aspfjädermossa (VU), blackticka (VU), borsttagging (VU), knärot (VU, §8), lappticka (VU), ostticka (VU), rynkskinn (VU), ulltickeporing (VU), barrviolspindling (NT), gammelgransskål (NT), garnlav (NT), granticka (NT), grynig filtlav (NT), gränsticka (NT), harticka (NT), knottrig blåslav (NT), liten svartspik (NT), lunglav (NT), nordlig nållav (NT), olivbrun gytterlav (NT), rosenticka (NT), röd trolldruva (NT), skrovellav (NT), talltita (NT, §4), tretåig hackspett (NT, §4), ullticka (NT), vedtrappmossa (NT), vitgrynig nållav (NT), vitskaftad svartspik (NT), mörk kådsvartspik (DD), barkkornlav (S), barrfagerspindling (S), bårdlav (S), diskvaxskivling (S), dvärgtufs (S), gytterlav (S), kamjordstjärna (S), korallblylav (S), källmossor (S), luddlav (S), mörk husmossa (S), skinnlav (S), spindelblomster (S, §8), stuplav (S), svart trolldruva (S), svavelriska (S), tibast (S), ögonpyrola (S), lavskrika (§4), skogsrör (§7) och revlummer (§9).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492914"/>
            <wp:docPr id="1" name="Picture 1"/>
            <wp:cNvGraphicFramePr>
              <a:graphicFrameLocks noChangeAspect="1"/>
            </wp:cNvGraphicFramePr>
            <a:graphic>
              <a:graphicData uri="http://schemas.openxmlformats.org/drawingml/2006/picture">
                <pic:pic>
                  <pic:nvPicPr>
                    <pic:cNvPr id="0" name="A 29408-2022 karta.png"/>
                    <pic:cNvPicPr/>
                  </pic:nvPicPr>
                  <pic:blipFill>
                    <a:blip r:embed="rId16"/>
                    <a:stretch>
                      <a:fillRect/>
                    </a:stretch>
                  </pic:blipFill>
                  <pic:spPr>
                    <a:xfrm>
                      <a:off x="0" y="0"/>
                      <a:ext cx="5486400" cy="14929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7202657, E 538307 i SWEREF 99 TM.</w:t>
      </w:r>
    </w:p>
    <w:p>
      <w:r>
        <w:rPr>
          <w:b/>
        </w:rPr>
        <w:t>Aspfjädermossa (VU)</w:t>
      </w:r>
      <w:r>
        <w:t xml:space="preserve"> är knuten till gamla skogar, framförallt på näringsrik, högproduktiv mark där den växer på bark av främst ask, lönn och asp. Arten är placerad högst upp i Skogsstyrelsens värdepyramid för bedömning av skog med höga naturvärden. Samtliga lokaler måste ges ett ändamålsenligt skydd och ett urval förekomster bör övervakas för att följa populationens status (SLU Artdatabanken, 2024; Nitare &amp; Skogsstyrelsen, 2019).</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Borsttagging (VU)</w:t>
      </w:r>
      <w:r>
        <w:t xml:space="preserve"> är en sällsynt art som växer på såväl levande som döda stammar av lövträd, mest asp och sälg, ibland även på al och alm. Den indikerar gamla och lövträdslika skogsmiljöer med konstant hög och jämn luftfuktighet. Svampen är mycket känslig för all form av avverkning och dränering som kan orsaka ett torrare mikroklimat på växtplatsen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Njurlavsknapp (EN) </w:t>
      </w:r>
      <w:r>
        <w:t>är en mycket sällsynt parasitisk svamp som växer på signalarten stuplav. Njurlavsknappen ställer höga krav på sin livsmiljö och är beroende av hög och jämn luftfuktighet, sannolikt krävs det ett suboceaniskt lokalklimat för att den ska trivas på sina lokaler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Olivbrun gytterlav (NT)</w:t>
      </w:r>
      <w:r>
        <w:t xml:space="preserve"> växer på barken av flera olika mossbelupna lövträd, främst asp, ask och lönn. Den är beroende av hög och jämn luftfuktighet och är placerad högst upp i Skogsstyrelsens värdepyramid för bedömning av skog med höga naturvärden. Laven hotas av avverkning av asp i blandskogsbestånd och av att gamla vårdträd, alléträd m.m. avverkas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 trolldruva (NT)</w:t>
      </w:r>
      <w:r>
        <w:t xml:space="preserve"> har sin utbredning i övre Norrlands skogsland från Västerbotten upp till Torne lappmark och växer framför allt i frisk-fuktig, vanligen örtrik och mycket artrik granskog på näringsrik mark med rörligt markvatten. Arten är mycket sällsynt och vanligen fåtalig på sina lokaler inom hela sitt svenska utbredningsområde. Slutavverkning kan medföra kraftig decimering eller utslagning av bestånden och det är viktigt att alla lokaler med röd trolldruva undantas från skogsbruk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talltita (NT, §4), tretåig hackspett (NT, §4), spindelblomster (S, §8), lavskrika (§4), skogsrör (§7)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1.23 ha med buffertzonerna och får av detta skäl inte avverkas.</w:t>
      </w:r>
    </w:p>
    <w:p>
      <w:pPr>
        <w:pStyle w:val="Caption"/>
      </w:pPr>
      <w:r>
        <w:drawing>
          <wp:inline xmlns:a="http://schemas.openxmlformats.org/drawingml/2006/main" xmlns:pic="http://schemas.openxmlformats.org/drawingml/2006/picture">
            <wp:extent cx="5486400" cy="1866537"/>
            <wp:docPr id="2" name="Picture 2"/>
            <wp:cNvGraphicFramePr>
              <a:graphicFrameLocks noChangeAspect="1"/>
            </wp:cNvGraphicFramePr>
            <a:graphic>
              <a:graphicData uri="http://schemas.openxmlformats.org/drawingml/2006/picture">
                <pic:pic>
                  <pic:nvPicPr>
                    <pic:cNvPr id="0" name="A 29408-2022 karta knärot.png"/>
                    <pic:cNvPicPr/>
                  </pic:nvPicPr>
                  <pic:blipFill>
                    <a:blip r:embed="rId17"/>
                    <a:stretch>
                      <a:fillRect/>
                    </a:stretch>
                  </pic:blipFill>
                  <pic:spPr>
                    <a:xfrm>
                      <a:off x="0" y="0"/>
                      <a:ext cx="5486400" cy="186653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7202657, E 538307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Skogsrör (§7)</w:t>
      </w:r>
      <w:r>
        <w:t xml:space="preserve"> är strikt skyddad enligt EU:s art- och habitatdirektiv och fridlyst enligt §7 Artskyddsförordningen (bilaga 1) vilket innebär att hela dess livsmiljö ska bevaras. Arten är en svensk-norsk endem som förekommer sparsamt till sällsynt i mellersta Norrland, i såväl lågland som fjällnära delar. Den är något kalkgynnad och växer i fuktiga-friska, gärna sluttande och rika skogar, både gran-, bland och björkskogar, i myrkanter samt längs vattendrag och raviner. Skogsrör är känslig för dränering och på dikade lokaler bör hydrologin återställas (SLU Artdatabanken, 2024).</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52 naturvårdsarter varav 31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