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40713-2024 i Vilhelmina kommun</w:t>
      </w:r>
    </w:p>
    <w:p>
      <w:r>
        <w:t>Detta dokument behandlar höga naturvärden i avverkningsanmälan A 40713-2024 i Vilhelmina kommun. Denna avverkningsanmälan inkom 2024-09-23 00:00:00 och omfattar 45,2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30 naturvårdsarter hittats: grantickeporing (VU), liten sotlav (VU), ostticka (VU), rynkskinn (VU), tajgaskinn (VU), doftskinn (NT), gammelgransskål (NT), garnlav (NT), granticka (NT), gränsticka (NT), harticka (NT), knottrig blåslav (NT), rosenticka (NT), rödbrun blekspik (NT), skrovellav (NT), spillkråka (NT, §4), tretåig hackspett (NT, §4), ullticka (NT), vitgrynig nållav (NT), vitskaftad svartspik (NT), blodticka (S), bårdlav (S), gytterlav (S), luddlav (S), mörk husmossa (S), norrlandslav (S), spindelblomster (S, §8), stuplav (S), vedticka (S) och ögonpyrola (S).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225221"/>
            <wp:docPr id="1" name="Picture 1"/>
            <wp:cNvGraphicFramePr>
              <a:graphicFrameLocks noChangeAspect="1"/>
            </wp:cNvGraphicFramePr>
            <a:graphic>
              <a:graphicData uri="http://schemas.openxmlformats.org/drawingml/2006/picture">
                <pic:pic>
                  <pic:nvPicPr>
                    <pic:cNvPr id="0" name="A 40713-2024 karta.png"/>
                    <pic:cNvPicPr/>
                  </pic:nvPicPr>
                  <pic:blipFill>
                    <a:blip r:embed="rId16"/>
                    <a:stretch>
                      <a:fillRect/>
                    </a:stretch>
                  </pic:blipFill>
                  <pic:spPr>
                    <a:xfrm>
                      <a:off x="0" y="0"/>
                      <a:ext cx="5486400" cy="522522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7230356, E 539791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Grantickeporing (VU)</w:t>
      </w:r>
      <w:r>
        <w:t xml:space="preserve"> växer på murken ved och döda fruktkroppar av granticka (NT) och gränsticka (NT). Den förekommer i naturskogsliknade granskogar, gärna i fuktiga miljöer vid källbäckar och liknande. Avverkning av naturskogslika miljöer och av grova granar där grantickeporing förekommer är ett direkt hot mot artens fortlevnad. Gamla granskogar som hyser arten undantas helt från skogsbruk (SLU Artdatabanken, 2024).</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Tajgaskinn (VU)</w:t>
      </w:r>
      <w:r>
        <w:t xml:space="preserve"> är placerad högst upp i Skogsstyrelsens värdepyramid för bedömning av skog med höga naturvärden och har klassificerats som en ”urskogsindikator” som kräver närmast orörda skogsmiljöer med långvarig kontinuitet av grova granlågor i olika nedbrytningsstadier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spillkråka (NT, §4), tretåig hackspett (NT, §4)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30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