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18848-2025 i Vilhelmina kommun</w:t>
      </w:r>
    </w:p>
    <w:p>
      <w:r>
        <w:t>Detta dokument behandlar höga naturvärden i avverkningsanmälan A 18848-2025 i Vilhelmina kommun. Denna avverkningsanmälan inkom 2025-04-17 00:00:00 och omfattar 16,4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grantickeporing (VU), ostticka (VU), doftskinn (NT), garnlav (NT), granticka (NT), gränsticka (NT), harticka (NT), järpe (NT, §4), rosenticka (NT), tretåig hackspett (NT, §4), blodticka (S), trådticka (S), vedticka (S), kungsfågel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0410"/>
            <wp:docPr id="1" name="Picture 1"/>
            <wp:cNvGraphicFramePr>
              <a:graphicFrameLocks noChangeAspect="1"/>
            </wp:cNvGraphicFramePr>
            <a:graphic>
              <a:graphicData uri="http://schemas.openxmlformats.org/drawingml/2006/picture">
                <pic:pic>
                  <pic:nvPicPr>
                    <pic:cNvPr id="0" name="A 18848-2025 karta.png"/>
                    <pic:cNvPicPr/>
                  </pic:nvPicPr>
                  <pic:blipFill>
                    <a:blip r:embed="rId16"/>
                    <a:stretch>
                      <a:fillRect/>
                    </a:stretch>
                  </pic:blipFill>
                  <pic:spPr>
                    <a:xfrm>
                      <a:off x="0" y="0"/>
                      <a:ext cx="5486400" cy="32504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7244388, E 538876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Grantickeporing (VU)</w:t>
      </w:r>
      <w:r>
        <w:t xml:space="preserve"> växer på murken ved och döda fruktkroppar av granticka (NT) och gränsticka (NT). Den förekommer i naturskogsliknade granskogar, gärna i fuktiga miljöer vid källbäckar och liknande. Avverkning av naturskogslika miljöer och av grova granar där grantickeporing förekommer är ett direkt hot mot artens fortlevnad. Gamla granskogar som hyser arten undantas helt från skogsbruk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järpe (NT, §4), tretåig hackspett (NT,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