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56589-2024 i Vilhelmina kommun</w:t>
      </w:r>
    </w:p>
    <w:p>
      <w:r>
        <w:t>Detta dokument behandlar höga naturvärden i avverkningsanmälan A 56589-2024 i Vilhelmina kommun. Denna avverkningsanmälan inkom 2024-11-29 00:00:00 och omfattar 60,1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23 naturvårdsarter hittats: fläckporing (VU), liten sotlav (VU), ostticka (VU), rynkskinn (VU), blanksvart spiklav (NT), blågrå svartspik (NT), doftskinn (NT), gammelgransskål (NT), garnlav (NT), granticka (NT), gränsticka (NT), harticka (NT), knottrig blåslav (NT), nordtagging (NT), rosenticka (NT), rödbrun blekspik (NT), tretåig hackspett (NT, §4), ullticka (NT), vedflamlav (NT), vitgrynig nållav (NT), vitplätt (NT), mörk husmossa (S) och vedticka (S). Av dessa är 21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03409"/>
            <wp:docPr id="1" name="Picture 1"/>
            <wp:cNvGraphicFramePr>
              <a:graphicFrameLocks noChangeAspect="1"/>
            </wp:cNvGraphicFramePr>
            <a:graphic>
              <a:graphicData uri="http://schemas.openxmlformats.org/drawingml/2006/picture">
                <pic:pic>
                  <pic:nvPicPr>
                    <pic:cNvPr id="0" name="A 56589-2024 karta.png"/>
                    <pic:cNvPicPr/>
                  </pic:nvPicPr>
                  <pic:blipFill>
                    <a:blip r:embed="rId16"/>
                    <a:stretch>
                      <a:fillRect/>
                    </a:stretch>
                  </pic:blipFill>
                  <pic:spPr>
                    <a:xfrm>
                      <a:off x="0" y="0"/>
                      <a:ext cx="5486400" cy="500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7203126, E 521334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Fläckporing (VU)</w:t>
      </w:r>
      <w:r>
        <w:t xml:space="preserve"> är en mycket bra signalart som visar på tallnaturskogar med höga naturvärden. Den är placerad högst upp i Skogsstyrelsens värdepyramid för bedömning av skog med höga naturvärden och indikerar områden som är mer eller mindre opåverkade av skogsbruk och där det funnits en kontinuitet av tallågor i olika nedbrytningsstadier. För att på lång sikt bibehålla livskraftiga populationer i ett område behövs troligen större skyddade områden som tillåter att man upprätthåller en naturlig branddynamik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 xml:space="preserve">Mörk husmossa </w:t>
      </w:r>
      <w:r>
        <w:t>är en mycket bra signalart i södra och mellersta Sverige. Den är sannolikt svårspridd och växer huvudsakligen i skog med lång skoglig kontinuitet i områden med konstant hög luftfuktighet. Den är känslig för större avverkningar, men tål plockhuggning som lämnar ett tätare trädskikt och ett obrutet, fukthållande mosstäcke på marken. Ett par studier har klart visat att artens tillväxt försämras när skogen huggs ner intill växtplatsen, och att ett kalhygges påverkan på mörk husmossa avtar både med avståndet från kalhygget och ju fuktigare växtplatsen är (SLU Artdatabanken, 2024; Nitare &amp; Skogsstyrelsen, 2019).</w:t>
      </w:r>
    </w:p>
    <w:p>
      <w:r>
        <w:rPr>
          <w:b/>
        </w:rPr>
        <w:t>Nordtagging (NT)</w:t>
      </w:r>
      <w:r>
        <w:t xml:space="preserve"> växer främst på tallågor av grövre dimensioner och påträffas huvudsakligen i äldre skog som inte kalavverkats. Nordtaggingen missgynnas av att områden med äldre tallskog har minskat starkt. Bekämpning av skogsbränder, samtidigt som skogsbruket omvandlar naturligt glesa tallbestånd till likartade och betydligt tätare bestånd, har missgynnat arten. Bristen på gamla tallågor utgör på sikt ett allvarligt hot och återskapandet av lämpliga biotoper tar mycket lång tid. Områden med olikåldriga bestånd av tall och med stort inslag av äldre träd bör undantas från skoglig produktion (SLU Artdatabanken, 2024).</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