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56840-2023 i Vilhelmina kommun</w:t>
      </w:r>
    </w:p>
    <w:p>
      <w:r>
        <w:t>Detta dokument behandlar höga naturvärden i avverkningsanmälan A 56840-2023 i Vilhelmina kommun. Denna avverkningsanmälan inkom 2023-11-08 00:00:00 och omfattar 55,0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kristallticka (VU), tajgaskinn (VU), doftskinn (NT), gammelgransskål (NT), granticka (NT), gränsticka (NT), harticka (NT), rosenticka (NT), skrovellav (NT) och sotlav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56840-2023 karta.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7240411, E 550517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Kristallticka (VU)</w:t>
      </w:r>
      <w:r>
        <w:t xml:space="preserve"> är en mycket krävande art som växer i urskogsartade barrnaturskogar där det finns rikligt med grov död ved i olika nedbrytningsstadier. Den är placerad högst upp i Skogsstyrelsens värdepyramid för bedömning av skog med höga naturvärden och är en av våra främsta naturvärdesindikatorer på skyddsvärda barrnaturskogar. Alla skogsskötselåtgärder på eller i omedelbar närhet av lokalerna påverkar arten negativt liksom den minskande andelen död ved i kulturskogarna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