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13030-2025 i Vilhelmina kommun</w:t>
      </w:r>
    </w:p>
    <w:p>
      <w:r>
        <w:t>Detta klagomål behandlar höga naturvärden i avverkningsanmälan A 13030-2025 i Vilhelmina kommun som inkom 2025-03-18 och omfattar 13,9 ha.</w:t>
      </w:r>
    </w:p>
    <w:p>
      <w:pPr>
        <w:pStyle w:val="Caption"/>
      </w:pPr>
      <w:r>
        <w:drawing>
          <wp:inline xmlns:a="http://schemas.openxmlformats.org/drawingml/2006/main" xmlns:pic="http://schemas.openxmlformats.org/drawingml/2006/picture">
            <wp:extent cx="5486400" cy="5246959"/>
            <wp:docPr id="1" name="Picture 1"/>
            <wp:cNvGraphicFramePr>
              <a:graphicFrameLocks noChangeAspect="1"/>
            </wp:cNvGraphicFramePr>
            <a:graphic>
              <a:graphicData uri="http://schemas.openxmlformats.org/drawingml/2006/picture">
                <pic:pic>
                  <pic:nvPicPr>
                    <pic:cNvPr id="0" name="A 13030-2025 karta.png"/>
                    <pic:cNvPicPr/>
                  </pic:nvPicPr>
                  <pic:blipFill>
                    <a:blip r:embed="rId16"/>
                    <a:stretch>
                      <a:fillRect/>
                    </a:stretch>
                  </pic:blipFill>
                  <pic:spPr>
                    <a:xfrm>
                      <a:off x="0" y="0"/>
                      <a:ext cx="5486400" cy="524695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7198522, E 545088 i SWEREF 99 TM.</w:t>
      </w:r>
    </w:p>
    <w:p>
      <w:r>
        <w:t>I och inom 25 meter från avverkningsanmälan finns fynd av 18 naturvårdsarter, varav 14 är rödlistade, 2 är fridlysta, 14 är typiska (T) och 4 är signalarter (S): blackticka (VU), garnlav (VU, T), gränsticka (VU, T), blanksvart spiklav (NT), doftskinn (NT, T), gammelgransskål (NT, T), kolflarnlav (NT, T), lunglav (NT, T), rosenticka (NT, T), skrovellav (NT, T), talltita (NT, §4), tretåig hackspett (NT, T, §4), ullticka (NT, T), vitgrynig nållav (NT), luddlav (S, T), norrlandslav (S, T), skinnlav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