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37550-2026 i Vilhelmina kommun</w:t>
      </w:r>
    </w:p>
    <w:p>
      <w:r>
        <w:t>Detta klagomål behandlar höga naturvärden i avverkningsanmälan A 37550-2026 i Vilhelmina kommun som inkom 2026-09-11 och omfattar 16,2 ha.</w:t>
      </w:r>
    </w:p>
    <w:p>
      <w:pPr>
        <w:pStyle w:val="Caption"/>
      </w:pPr>
      <w:r>
        <w:drawing>
          <wp:inline xmlns:a="http://schemas.openxmlformats.org/drawingml/2006/main" xmlns:pic="http://schemas.openxmlformats.org/drawingml/2006/picture">
            <wp:extent cx="5051282" cy="5724000"/>
            <wp:docPr id="1" name="Picture 1"/>
            <wp:cNvGraphicFramePr>
              <a:graphicFrameLocks noChangeAspect="1"/>
            </wp:cNvGraphicFramePr>
            <a:graphic>
              <a:graphicData uri="http://schemas.openxmlformats.org/drawingml/2006/picture">
                <pic:pic>
                  <pic:nvPicPr>
                    <pic:cNvPr id="0" name="A 37550-2026 karta.png"/>
                    <pic:cNvPicPr/>
                  </pic:nvPicPr>
                  <pic:blipFill>
                    <a:blip r:embed="rId16"/>
                    <a:stretch>
                      <a:fillRect/>
                    </a:stretch>
                  </pic:blipFill>
                  <pic:spPr>
                    <a:xfrm>
                      <a:off x="0" y="0"/>
                      <a:ext cx="505128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7206193, E 540115 i SWEREF 99 TM.</w:t>
      </w:r>
    </w:p>
    <w:p>
      <w:r>
        <w:t>I och inom 8 meter från avverkningsanmälan finns fynd av 19 naturvårdsarter, varav 9 är rödlistade, 5 är fridlysta, 15 är typiska (T) och 7 är signalarter (S): blackticka (VU), garnlav (VU, T), lavskrika (NT, T, §4), lunglav (NT, T), rynkskinn (NT, T), skrovellav (NT, T), talltita (NT, §4), tretåig hackspett (NT, T, §4), älg (NT), bårdlav (S, T), luddlav (S, T), mörk husmossa (S, T), plattlummer (S, T, §9), svavelriska (S), vedticka (S, T), ögonpyrola (S, T), nordisk stormhatt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