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44286-2024 i Vilhelmina kommun</w:t>
      </w:r>
    </w:p>
    <w:p>
      <w:r>
        <w:t>Denna tillsynsbegäran behandlar höga naturvärden i avverkningsanmälan A 44286-2024 i Vilhelmina kommun som inkom 2024-10-08 och omfattar 29,2 ha.</w:t>
      </w:r>
    </w:p>
    <w:p>
      <w:pPr>
        <w:pStyle w:val="Caption"/>
      </w:pPr>
      <w:r>
        <w:drawing>
          <wp:inline xmlns:a="http://schemas.openxmlformats.org/drawingml/2006/main" xmlns:pic="http://schemas.openxmlformats.org/drawingml/2006/picture">
            <wp:extent cx="5486400" cy="4879314"/>
            <wp:docPr id="1" name="Picture 1"/>
            <wp:cNvGraphicFramePr>
              <a:graphicFrameLocks noChangeAspect="1"/>
            </wp:cNvGraphicFramePr>
            <a:graphic>
              <a:graphicData uri="http://schemas.openxmlformats.org/drawingml/2006/picture">
                <pic:pic>
                  <pic:nvPicPr>
                    <pic:cNvPr id="0" name="A 44286-2024 karta.png"/>
                    <pic:cNvPicPr/>
                  </pic:nvPicPr>
                  <pic:blipFill>
                    <a:blip r:embed="rId16"/>
                    <a:stretch>
                      <a:fillRect/>
                    </a:stretch>
                  </pic:blipFill>
                  <pic:spPr>
                    <a:xfrm>
                      <a:off x="0" y="0"/>
                      <a:ext cx="5486400" cy="487931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7158108, E 626022 i SWEREF 99 TM.</w:t>
      </w:r>
    </w:p>
    <w:p>
      <w:r>
        <w:t>I avverkningsanmälan finns fynd av 1 naturvårdsarter, varav 1 är fridlyst och 1 är typisk (T): videsparv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Videsparv (§4)</w:t>
      </w:r>
      <w:r>
        <w:t xml:space="preserve"> är fridlyst enligt 4§ artskyddsförordningen och globalt rödlistad som nära hotad (NT) vilket innebär att Sverige har ett internationellt ansvar för arten. Videsparven är en sumpskogsart och den viktigaste häckningsbiotopen utgörs av lövrik sumpgranskog med ett rikt fältskikt av olika starr- och fräkenarter samt riklig förekomst av olika låga ris. Reviren är små till medelstora, från under en hektar till några hektar. Videsparven missgynnas av avverkning av sumpskog, dikning och dikesrensning samt andra åtgärder som påverkar fuktiga till blöta impediment. Videsparv är typisk art för </w:t>
      </w:r>
      <w:r>
        <w:rPr>
          <w:i/>
        </w:rPr>
        <w:t>9740 Skogsbevuxen myr</w:t>
      </w:r>
      <w:r>
        <w:t xml:space="preserve"> (SLU Artdatabanken, 2026; IUCN, 2025;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Videsparv – ekologi samt krav på livsmiljön</w:t>
      </w:r>
    </w:p>
    <w:p>
      <w:r>
        <w:t>Videsparv (§4) är starkt knuten till sumpskogar och den viktigaste häckningsbiotopen är lövrik sumpgranskog, men kan i mer sällsynta fall även utgöras av ren barrskogsmiljö. En mycket typisk häckningslokal kan beskrivas som ett lövrikt skogskärr med ett rikt fältskikt av starr- och fräkenarter. Ett typiskt karaktärsdrag är vidare förekomst av rejält fuktig, stortuvig mark med vattenfyllda höljor. Viktiga häckningsmiljöer är sumpskog längs vattendrag, myr- och kärrkanter, stränder vid sjöar och granskog på hängmyrar. Reviren är små till medelstora, från under en hektar till några hektar (SLU Artdatabanken, 2026; Skogsstyrelsen, 2016).</w:t>
      </w:r>
    </w:p>
    <w:p>
      <w:r>
        <w:t xml:space="preserve">Videsparven missgynnas av avverkning av sumpskog, dikning och dikesrensning samt andra åtgärder som påverkar fuktiga till blöta impediment. Ordentligt fuktiga skogsmiljöer har på grund av årtionden av skogsdikning minskat i areal och utbredning vilket i viss mån kan ha påverkat artens häckningsmöjligheter. Videsparv är typisk art för </w:t>
      </w:r>
      <w:r>
        <w:rPr>
          <w:i/>
        </w:rPr>
        <w:t>9740 Skogsbevuxen myr</w:t>
      </w:r>
      <w:r>
        <w:t>, fridlyst enligt 4§ artskyddsförordningen och globalt rödlistad som nära hotad (NT) vilket innebär att Sverige har ett internationellt ansvar för arten (SLU Artdatabanken, 2026; IUCN, 2025; Skogsstyrelsen, 2016).</w:t>
      </w:r>
    </w:p>
    <w:p>
      <w:pPr>
        <w:pStyle w:val="Heading2"/>
      </w:pPr>
      <w:r>
        <w:t>Referenser – videsparv</w:t>
      </w:r>
    </w:p>
    <w:p>
      <w:r>
        <w:t xml:space="preserve">IUCN, 2025. </w:t>
      </w:r>
      <w:r>
        <w:rPr>
          <w:i/>
        </w:rPr>
        <w:t>Emberiza rustica</w:t>
      </w:r>
      <w:r>
        <w:t>. The IUCN Red List of Threatened Species.</w:t>
      </w:r>
    </w:p>
    <w:p>
      <w:r>
        <w:t xml:space="preserve">Skogsstyrelsen, 2016. </w:t>
      </w:r>
      <w:r>
        <w:rPr>
          <w:i/>
        </w:rPr>
        <w:t xml:space="preserve">Vägledning för hänsyn till videsparv.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