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dokument behandlar höga naturvärden i avverkningsanmälan A 14896-2026 i Vilhelmina kommun. Denna avverkningsanmälan inkom 2026-03-23 00:00:00 och omfattar 171,5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grantickeporing (VU), liten sotlav (VU), mörk blåslav (VU), rynkskinn (VU), tajgaskinn (VU), brunpudrad nållav (NT), doftskinn (NT), gammelgransskål (NT), garnlav (NT), granticka (NT), gränsticka (NT), harticka (NT), järpe (NT, §4), knottrig blåslav (NT), mörk kolflarnlav (NT), rosenticka (NT), rödbrun blekspik (NT), skrovellav (NT), spillkråka (NT, §4), stjärntagging (NT), talltita (NT, §4), tretåig hackspett (NT, §4), ullticka (NT), vedskivlav (NT), vitgrynig nållav (NT), vitskaftad svartspik (NT), blodticka (S), bårdlav (S), luddlav (S), mörk husmossa (S), norrlandslav (S), sotlav (S), spindelblomster (S, §8), stuplav (S), trådticka (S), vedticka (S) och ögonpyrola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7229554, E 539050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