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34086-2023 i Vilhelmina kommun</w:t>
      </w:r>
    </w:p>
    <w:p>
      <w:r>
        <w:t>Detta dokument behandlar höga naturvärden i avverkningsanmälan A 34086-2023 i Vilhelmina kommun. Denna avverkningsanmälan inkom 2023-07-18 och omfattar 35,3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25 naturvårdsarter hittats: grantickeporing (VU), liten sotlav (VU), rödskaftad svartspik (VU), tajgaskinn (VU), brunpudrad nållav (NT), gammelgransskål (NT), garnlav (NT), granticka (NT), gränsticka (NT), harticka (NT), Leptoporus mollis (NT), rödbrun blekspik (NT), tretåig hackspett (NT, §4), ullticka (NT), vitgrynig nållav (NT), gulnål (S), korallblylav (S), lappranunkel (S, §7), luddlav (S), skinnlav (S), skogshakmossa (S), spindelblomster (S, §8), stuplav (S), trådticka (S) och ögonpyrola (S). Av dessa är 15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97813"/>
            <wp:docPr id="1" name="Picture 1"/>
            <wp:cNvGraphicFramePr>
              <a:graphicFrameLocks noChangeAspect="1"/>
            </wp:cNvGraphicFramePr>
            <a:graphic>
              <a:graphicData uri="http://schemas.openxmlformats.org/drawingml/2006/picture">
                <pic:pic>
                  <pic:nvPicPr>
                    <pic:cNvPr id="0" name="A 34086-2023 karta.png"/>
                    <pic:cNvPicPr/>
                  </pic:nvPicPr>
                  <pic:blipFill>
                    <a:blip r:embed="rId16"/>
                    <a:stretch>
                      <a:fillRect/>
                    </a:stretch>
                  </pic:blipFill>
                  <pic:spPr>
                    <a:xfrm>
                      <a:off x="0" y="0"/>
                      <a:ext cx="5486400" cy="509781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7179187, E 609371 i SWEREF 99 TM.</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(SLU Artdatabanken, 2024; Nitare &amp; Skogsstyrelsen, 2019).</w:t>
      </w:r>
    </w:p>
    <w:p>
      <w:r>
        <w:rPr>
          <w:b/>
        </w:rPr>
        <w:t>Gränsticka (NT)</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Lokaler som hyser arten, speciellt i mellersta och södra Sverige, bör undantas från skogsbruk (SLU Artdatabanken, 2024; Nitare &amp; Skogsstyrelsen, 2019).</w:t>
      </w:r>
    </w:p>
    <w:p>
      <w:r>
        <w:rPr>
          <w:b/>
        </w:rPr>
        <w:t>Liten sotlav (VU)</w:t>
      </w:r>
      <w:r>
        <w:t xml:space="preserve"> förekommer i gamla brandrefugiala boreala granskogar där den oftast påträffas på grovbarkiga, senvuxna, mycket gamla granar. Arten är en av de mest krävande arterna i fuktig grannaturskog och är placerad högst upp i Skogsstyrelsens värdepyramid för bedömning av skog med höga naturvärden. Samtliga förekomster bör skyddas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r>
        <w:rPr>
          <w:b/>
        </w:rPr>
        <w:t>Tajgaskinn (VU)</w:t>
      </w:r>
      <w:r>
        <w:t xml:space="preserve"> är placerad högst upp i Skogsstyrelsens värdepyramid för bedömning av skog med höga naturvärden och har klassificerats som en ”urskogsindikator” som kräver närmast orörda skogsmiljöer med långvarig kontinuitet av grova granlågor i olika nedbrytningsstadier (Nitare &amp; Skogsstyrelsen, 2019).</w:t>
      </w:r>
    </w:p>
    <w:p>
      <w:pPr>
        <w:pStyle w:val="Heading1"/>
      </w:pPr>
      <w:r>
        <w:t>Fridlysta arter</w:t>
      </w:r>
    </w:p>
    <w:p>
      <w:r>
        <w:t>Följande fridlysta arter har sina livsmiljöer och växtplatser i den avverkningsanmälda skogen: tretåig hackspett (NT, §4), lappranunkel (S, §7) och spindelblomster (S, §8).</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Lappranunkel (§7)</w:t>
      </w:r>
      <w:r>
        <w:t xml:space="preserve"> omfattas av EU:s art- och habitatdirektiv och är fridlyst enligt 7 § artskyddsförordningen vilket innebär att artens livsmiljöer inte får förstöras. Den är knuten till granskogsmiljöer med ytligt liggande markvatten och konstant hög luftfuktighet. Arten är känslig för kalavverkning och markskador men kan kortvarigt står kvar en tid i fuktsvackor efter en avverkning. Lokaler med lappranunkel får inte avverkas (Nitare &amp; Skogsstyrelsen, 2019; SLU Artdatabanken, 2024).</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Lappranunkel – ekologi samt krav på livsmiljön</w:t>
      </w:r>
    </w:p>
    <w:p>
      <w:r>
        <w:t>Lappranunkel (§7) omfattas av EU:s art- och habitatdirektiv och fridlyst enligt 7 § artskyddsförordningen vilket innebär att artens livsmiljöer inte får förstöras.</w:t>
      </w:r>
    </w:p>
    <w:p>
      <w:pPr>
        <w:pStyle w:val="ListBullet"/>
      </w:pPr>
      <w:r>
        <w:t xml:space="preserve">7 § </w:t>
      </w:r>
      <w:r>
        <w:rPr>
          <w:i/>
        </w:rPr>
        <w:t>I fråga om sådana växtarter som i bilaga 1 till denna förordning har markerats med N är det förbjudet att avsiktligt plocka, samla in, skära av, dra upp med rötterna eller förstöra växter i deras naturliga utbredningsområde i naturen. Förbudet gäller alla stadier i växternas biologiska cykel.</w:t>
      </w:r>
    </w:p>
    <w:p>
      <w:r>
        <w:t>Lappranunkel är knuten till granskogsmiljöer med ytligt liggande markvatten och konstant hög luftfuktighet. Arten är känslig för kalavverkning och markskador men kan kortvarigt står kvar en tid i fuktsvackor efter en avverkning. Dikade lokaler bör restaureras hydrologiskt. Lokaler med lappranunkel får inte avverkas (Nitare, 2019; SLU Artdatabanken, 2024).</w:t>
      </w:r>
    </w:p>
    <w:p>
      <w:pPr>
        <w:pStyle w:val="Heading2"/>
      </w:pPr>
      <w:r>
        <w:t>Referenser – lappranunkel</w:t>
      </w:r>
    </w:p>
    <w:p>
      <w:r>
        <w:t xml:space="preserve">Nitare, J.,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