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43595-2023 i Vilhelmina kommun</w:t>
      </w:r>
    </w:p>
    <w:p>
      <w:r>
        <w:t>Detta dokument behandlar höga naturvärden i avverkningsanmälan A 43595-2023 i Vilhelmina kommun. Denna avverkningsanmälan inkom 2023-09-12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hyacintvaxskivling (EN), blåfotad fagerspindling (VU), bombmurkla (VU, §8), skuggnål (VU), flattoppad klubbsvamp (NT), garnlav (NT), grantaggsvamp (NT), liten svartspik (NT), rödbrun blekspik (NT), talltita (NT, §4), tretåig hackspett (NT, §4), ullticka (NT), vitgrynig nållav (NT), fjällig taggsvamp s.str. (S), kornig nållav (S), mörk husmossa (S), svart trolldruva (S), svavelriska (S), tibast (S), trådticka (S), vedticka (S) och skogsrör (§7).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133"/>
            <wp:docPr id="1" name="Picture 1"/>
            <wp:cNvGraphicFramePr>
              <a:graphicFrameLocks noChangeAspect="1"/>
            </wp:cNvGraphicFramePr>
            <a:graphic>
              <a:graphicData uri="http://schemas.openxmlformats.org/drawingml/2006/picture">
                <pic:pic>
                  <pic:nvPicPr>
                    <pic:cNvPr id="0" name="A 43595-2023 karta.png"/>
                    <pic:cNvPicPr/>
                  </pic:nvPicPr>
                  <pic:blipFill>
                    <a:blip r:embed="rId16"/>
                    <a:stretch>
                      <a:fillRect/>
                    </a:stretch>
                  </pic:blipFill>
                  <pic:spPr>
                    <a:xfrm>
                      <a:off x="0" y="0"/>
                      <a:ext cx="5486400" cy="3186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7201822, E 540350 i SWEREF 99 TM.</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Hyacintvaxskivling (EN)</w:t>
      </w:r>
      <w:r>
        <w:t xml:space="preserve"> är en starkt hotad svamp som doftar hyacint och bildar mykorrhiza med barrträd, sannolikt främst med gran i äldre kalk- och örtrik barrblandskog. Arten hotas av skogsbruk och växtplatserna måste skyddas genom någon form av säkerställande (SLU Artdatabanken, 2024).</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bombmurkla (VU, §8), talltita (NT, §4), tretåig hackspett (NT, §4) och skogsrör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