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66998-2021 i Vilhelmina kommun</w:t>
      </w:r>
    </w:p>
    <w:p>
      <w:r>
        <w:t>Detta klagomål behandlar höga naturvärden i avverkningsanmälan A 66998-2021 i Vilhelmina kommun som inkom 2021-11-22 och omfattar 573,2 ha.</w:t>
      </w:r>
    </w:p>
    <w:p>
      <w:pPr>
        <w:pStyle w:val="Caption"/>
      </w:pPr>
      <w:r>
        <w:drawing>
          <wp:inline xmlns:a="http://schemas.openxmlformats.org/drawingml/2006/main" xmlns:pic="http://schemas.openxmlformats.org/drawingml/2006/picture">
            <wp:extent cx="5486400" cy="5695675"/>
            <wp:docPr id="1" name="Picture 1"/>
            <wp:cNvGraphicFramePr>
              <a:graphicFrameLocks noChangeAspect="1"/>
            </wp:cNvGraphicFramePr>
            <a:graphic>
              <a:graphicData uri="http://schemas.openxmlformats.org/drawingml/2006/picture">
                <pic:pic>
                  <pic:nvPicPr>
                    <pic:cNvPr id="0" name="A 66998-2021 karta.png"/>
                    <pic:cNvPicPr/>
                  </pic:nvPicPr>
                  <pic:blipFill>
                    <a:blip r:embed="rId16"/>
                    <a:stretch>
                      <a:fillRect/>
                    </a:stretch>
                  </pic:blipFill>
                  <pic:spPr>
                    <a:xfrm>
                      <a:off x="0" y="0"/>
                      <a:ext cx="5486400" cy="569567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7241526, E 552898 i SWEREF 99 TM.</w:t>
      </w:r>
    </w:p>
    <w:p>
      <w:r>
        <w:t>I och inom 25 meter från avverkningsanmälan finns fynd av 17 naturvårdsarter, varav 16 är rödlistade, 15 är typiska (T) och 1 är signalart (S): garnlav (VU, T), gränsticka (VU, T), lappticka (VU, T), ostticka (VU, T), tajgaskinn (VU), vitskaftad svartspik (VU, T), brunpudrad nållav (NT, T), doftskinn (NT, T), gammelgransskål (NT, T), harticka (NT, T), knottrig blåslav (NT, T), rosenticka (NT, T), rynkskinn (NT, T), rödbrun blekspik (NT, T), ullticka (NT, T), urnlav (NT) och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Urnlav (NT)</w:t>
      </w:r>
      <w:r>
        <w:t xml:space="preserve"> växer på delvis döda fågelgödda toppgrenar av dvärgvuxna granar strax ovanför skogsgränsen. Det finns också ett fåtal fynd på myrar nedanför skogsgränsen. Förekomsterna nedanför skogsgränsen hotas av skogsavverkningar på eller i närheten av lokalerna (SLU Artdatabanken, 2026).</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