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48248-2023 i Vilhelmina kommun</w:t>
      </w:r>
    </w:p>
    <w:p>
      <w:r>
        <w:t>Detta dokument behandlar höga naturvärden i avverkningsanmälan A 48248-2023 i Vilhelmina kommun. Denna avverkningsanmälan inkom 2023-10-02 00:00:00 och omfattar 34,2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18 naturvårdsarter hittats: tallbit (VU, §4), garnlav (NT), granticka (NT), järpe (NT, §4), liten svartspik (NT), lunglav (NT), rödbrun blekspik (NT), skrovellav (NT), talltita (NT, §4), tretåig hackspett (NT, §4), vitgrynig nållav (NT), vitskaftad svartspik (NT), bårdlav (S), gulnål (S), stuplav (S), lavskrika (§4), sparvuggla (§4) och tjäder (§4).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43928"/>
            <wp:docPr id="1" name="Picture 1"/>
            <wp:cNvGraphicFramePr>
              <a:graphicFrameLocks noChangeAspect="1"/>
            </wp:cNvGraphicFramePr>
            <a:graphic>
              <a:graphicData uri="http://schemas.openxmlformats.org/drawingml/2006/picture">
                <pic:pic>
                  <pic:nvPicPr>
                    <pic:cNvPr id="0" name="A 48248-2023 karta.png"/>
                    <pic:cNvPicPr/>
                  </pic:nvPicPr>
                  <pic:blipFill>
                    <a:blip r:embed="rId16"/>
                    <a:stretch>
                      <a:fillRect/>
                    </a:stretch>
                  </pic:blipFill>
                  <pic:spPr>
                    <a:xfrm>
                      <a:off x="0" y="0"/>
                      <a:ext cx="5486400" cy="41439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7207859, E 545617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signalerar alltid höga naturvärden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Vitskaftad svartspik (NT)</w:t>
      </w:r>
      <w:r>
        <w:t xml:space="preserve"> förekommer främst i naturskog på gamla senvuxna granar och signalerar alltid höga naturvärden. Alla skogliga åtgärder som kan påverka markvatten och luftfuktighet på i närheten av lokaler utgör ett hot. Avverkning av naturskogar utgör ett allvarligt hot och alla skogsskötselåtgärder på eller i närheten av växtplatserna bör undvikas. Lämpligt stora reservat av naturskogstyp bör bevaras (SLU Artdatabanken, 2024; Nitare &amp; Skogsstyrelsen, 2019).</w:t>
      </w:r>
    </w:p>
    <w:p>
      <w:pPr>
        <w:pStyle w:val="Heading1"/>
      </w:pPr>
      <w:r>
        <w:t>Fridlysta arter</w:t>
      </w:r>
    </w:p>
    <w:p>
      <w:r>
        <w:t>Följande fridlysta arter har sina livsmiljöer och växtplatser i den avverkningsanmälda skogen: tallbit (VU, §4), järpe (NT, §4), talltita (NT, §4), tretåig hackspett (NT, §4), lavskrika (§4), sparvuggla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Sparvuggla (§4)</w:t>
      </w:r>
      <w:r>
        <w:t>, som omfattas av fågeldirektivets bilaga 1,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Särskilt avverkning av lövträdsrika kantzoner och igenplantering av gamla inägor (Skogsstyrelsen, 2016).</w:t>
      </w:r>
    </w:p>
    <w:p>
      <w:r>
        <w:rPr>
          <w:b/>
        </w:rPr>
        <w:t>Tallbit (VU, §4)</w:t>
      </w:r>
      <w:r>
        <w:t>, rödlistad som sårbar och prioriterad art i Skogsvårdslagen, har minskat med 25–75 % de senaste 30 åren. Tallbit ställer höga krav på sin livsmiljö och permanent förekomst av häckande tallbit finns huvudsakligen i gammal grandominerad barrblandskog av naturskogskaraktär. Reviren är relativt stora (12–75 hektar) och arten saknas i områden med storskaligt skogsbruk med hög andel stora hyggen och täta ungskogar. Områden med dokumenterad permanent förekomst har vanligtvis så stora naturvärden att skogsbruk är olämpligt (SLU Artdatabanken, 2024; Skogsstyrelsen, 2016). Observationer av tallbit i naturskog eller under häckningstid måste alltid utredas.</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Sparvuggla – ekologi samt krav på livsmiljön</w:t>
      </w:r>
    </w:p>
    <w:p>
      <w:r>
        <w:t>Sparvuggla (§4), som omfattas av fågeldirektivets bilaga 1,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 särskilt avverkning av lövträdsrika kantzoner och igenplantering av gamla inägor (Skogsstyrelsen, 2016).</w:t>
      </w:r>
    </w:p>
    <w:p>
      <w:pPr>
        <w:pStyle w:val="Heading2"/>
      </w:pPr>
      <w:r>
        <w:t>Referenser – sparvuggla</w:t>
      </w:r>
    </w:p>
    <w:p>
      <w:r>
        <w:t xml:space="preserve">Skogsstyrelsen, 2016. </w:t>
      </w:r>
      <w:r>
        <w:rPr>
          <w:i/>
        </w:rPr>
        <w:t>Vägledning för hänsyn till sparvuggla.</w:t>
      </w:r>
    </w:p>
    <w:p>
      <w:pPr>
        <w:pStyle w:val="Heading1"/>
      </w:pPr>
      <w:r>
        <w:t>Tallbit – ekologi samt krav på livsmiljön</w:t>
      </w:r>
    </w:p>
    <w:p>
      <w:r>
        <w:t>Tallbit (VU, §4) är rödlistad som sårbar och prioriterad art enligt Skogsvårdslagen. Arten har minskat med 25–75 % de senaste 30 åren och minskningstakten överstiger gränsvärdet för Sårbar (VU) enligt A-kriteriet. (A4bc). Den förekommer från norra Dalarna och norrut genom de inre delarna av Norrland, norrut till norra Norrbotten. Området med regelbunden förekomst har kraftigt reducerats och 90 % av populationen förekommer numera i Norrbottens län (SLU Artdatabanken, 2024).</w:t>
      </w:r>
    </w:p>
    <w:p>
      <w:r>
        <w:t>Tallbit ställer höga krav på sin livsmiljö och permanent förekomst av häckande tallbit finns huvudsakligen i gammal grandominerad barrblandskog av naturskogskaraktär med inslag av björk, gråal, rönn och viden, påfallande ofta i områden med inslag av myrmark och små vattendrag. Reviren är relativt stora (12–75 hektar enligt befintliga studier) och arten saknas i områden med storskaligt skogsbruk med hög andel stora hyggen och täta ungskogar. Områden med dokumenterad permanent förekomst har ofta så stora naturvärden att skogsbruk är olämpligt (SLU Artdatabanken, 2024; Skogsstyrelsen, 2016).</w:t>
      </w:r>
    </w:p>
    <w:p>
      <w:r>
        <w:t>Arealerna grandominerad naturskog har i stora delar av landet blivit allt för små, och bestånden är dessutom i många fall allt för isolerade, för att kunna upprätthålla stabila populationer. Omdaningen av naturskogsartad skog till produktionsskog medför en förlust av viktiga häckningsmiljöer, något som förstärks av ökad fragmentering av kvarvarande naturskogsartade bestånd. Områden med dokumenterad permanent förekomst i naturskogsmiljöer kan ha så stora naturvärden att de bör bli föremål för områdesskydd eller naturvårdsavsättningar (Skogsstyrelsen, 2016).</w:t>
      </w:r>
    </w:p>
    <w:p>
      <w:r>
        <w:t>Tallbiten flyttar normalt endast begränsade sträckor inom norra barrskogsregionen och de flesta vintrar ses den endast i mycket liten omfattning utanför häckningsområdet. Med långa och oregelbundna mellanrum uppträder tallbiten invasionsaktigt och i samband med sådana rörelser kan den observeras i stora delar av Sverige (SLU Artdatabanken, 2024).</w:t>
      </w:r>
    </w:p>
    <w:p>
      <w:pPr>
        <w:pStyle w:val="Heading2"/>
      </w:pPr>
      <w:r>
        <w:t>Referenser – tallbit</w:t>
      </w:r>
    </w:p>
    <w:p>
      <w:r>
        <w:t xml:space="preserve">Skogsstyrelsen, 2016. </w:t>
      </w:r>
      <w:r>
        <w:rPr>
          <w:i/>
        </w:rPr>
        <w:t xml:space="preserve">Vägledning för hänsyn till tallbit. </w:t>
      </w:r>
      <w:r>
        <w:t>Vägledningar och kunskapsstöd artskydd - Skogsstyrelsen</w:t>
      </w:r>
    </w:p>
    <w:p>
      <w:r>
        <w:t>SLU Artdatabanken, 2024.</w:t>
      </w:r>
      <w:r>
        <w:rPr>
          <w:i/>
        </w:rPr>
        <w:t xml:space="preserve"> Artfakta: tallbit (Pinicola enucleator). </w:t>
      </w:r>
      <w:r>
        <w:t>https://artfakta.se/taxa/102125</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