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17045-2023 i Vilhelmina kommun</w:t>
      </w:r>
    </w:p>
    <w:p>
      <w:r>
        <w:t>Detta dokument behandlar höga naturvärden i avverkningsanmälan A 17045-2023 i Vilhelmina kommun. Denna avverkningsanmälan inkom 2023-04-14 och omfattar 20,0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18 naturvårdsarter hittats: grantickeporing (VU), rynkskinn (VU), brunpudrad nållav (NT), doftskinn (NT), gammelgransskål (NT), garnlav (NT), granticka (NT), gränsticka (NT), harticka (NT), knottrig blåslav (NT), skrovellav (NT), tretåig hackspett (NT, §4), vitgrynig nållav (NT), bårdlav (S), luddlav (S), stuplav (S), trådticka (S) och ögonpyrola (S).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93617"/>
            <wp:docPr id="1" name="Picture 1"/>
            <wp:cNvGraphicFramePr>
              <a:graphicFrameLocks noChangeAspect="1"/>
            </wp:cNvGraphicFramePr>
            <a:graphic>
              <a:graphicData uri="http://schemas.openxmlformats.org/drawingml/2006/picture">
                <pic:pic>
                  <pic:nvPicPr>
                    <pic:cNvPr id="0" name="A 17045-2023 karta.png"/>
                    <pic:cNvPicPr/>
                  </pic:nvPicPr>
                  <pic:blipFill>
                    <a:blip r:embed="rId16"/>
                    <a:stretch>
                      <a:fillRect/>
                    </a:stretch>
                  </pic:blipFill>
                  <pic:spPr>
                    <a:xfrm>
                      <a:off x="0" y="0"/>
                      <a:ext cx="5486400" cy="33936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7229005, E 539134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Grantickeporing (VU)</w:t>
      </w:r>
      <w:r>
        <w:t xml:space="preserve"> växer på murken ved och döda fruktkroppar av granticka (NT) och gränsticka (NT). Den förekommer i naturskogsliknade granskogar, gärna i fuktiga miljöer vid källbäckar och liknande. Avverkning av naturskogslika miljöer och av grova granar där grantickeporing förekommer är ett direkt hot mot artens fortlevnad. Gamla granskogar som hyser arten undantas helt från skogsbruk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r>
        <w:rPr>
          <w:b/>
        </w:rPr>
        <w:t>Grön jordtunga</w:t>
      </w:r>
      <w:r>
        <w:t xml:space="preserve"> växer i fuktiga lövskogar och svämskogar, oftast i direkt anslutning till bäckar, åar, sjöar och skogskärr. Svampen är uttorkningskänslig och den indikerar biotoper med hög luftfuktighet. All avverkning eller dränering innebär ett hot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