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7260-2026 i Vilhelmina kommun</w:t>
      </w:r>
    </w:p>
    <w:p>
      <w:r>
        <w:t>Denna tillsynsbegäran behandlar höga naturvärden i avverkningsanmälan A 7260-2026 i Vilhelmina kommun som inkom 2026-02-05 och omfattar 6,1 ha.</w:t>
      </w:r>
    </w:p>
    <w:p>
      <w:pPr>
        <w:pStyle w:val="Caption"/>
      </w:pPr>
      <w:r>
        <w:drawing>
          <wp:inline xmlns:a="http://schemas.openxmlformats.org/drawingml/2006/main" xmlns:pic="http://schemas.openxmlformats.org/drawingml/2006/picture">
            <wp:extent cx="5486400" cy="5011119"/>
            <wp:docPr id="1" name="Picture 1"/>
            <wp:cNvGraphicFramePr>
              <a:graphicFrameLocks noChangeAspect="1"/>
            </wp:cNvGraphicFramePr>
            <a:graphic>
              <a:graphicData uri="http://schemas.openxmlformats.org/drawingml/2006/picture">
                <pic:pic>
                  <pic:nvPicPr>
                    <pic:cNvPr id="0" name="A 7260-2026 karta.png"/>
                    <pic:cNvPicPr/>
                  </pic:nvPicPr>
                  <pic:blipFill>
                    <a:blip r:embed="rId16"/>
                    <a:stretch>
                      <a:fillRect/>
                    </a:stretch>
                  </pic:blipFill>
                  <pic:spPr>
                    <a:xfrm>
                      <a:off x="0" y="0"/>
                      <a:ext cx="5486400" cy="501111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7207811, E 569360 i SWEREF 99 TM.</w:t>
      </w:r>
    </w:p>
    <w:p>
      <w:r>
        <w:t>I och inom 3 meter från avverkningsanmälan finns fynd av 9 naturvårdsarter, varav 4 är rödlistade, 3 är fridlysta, 8 är typiska (T) och 3 är signalarter (S): garnlav (VU, T), gränsticka (VU, T), rosenticka (NT, T), skrovellav (NT, T), luddlav (S, T), plattlummer (S, T, §9), ögonpyrola (S, T), järpe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rosenticka (NT, T), skrovellav (NT, T), luddlav (S, T), plattlummer (S, T, §9), ögonpyrola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