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29408-2022 i Vilhelmina kommun</w:t>
      </w:r>
    </w:p>
    <w:p>
      <w:r>
        <w:t>Detta dokument behandlar höga naturvärden i avverkningsanmälan A 29408-2022 i Vilhelmina kommun. Denna avverkningsanmälan inkom 2022-07-11 00:00:00 och omfattar 17,1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52 naturvårdsarter hittats: njurlavsknapp (EN), aspfjädermossa (VU), blackticka (VU), borsttagging (VU), knärot (VU, §8), lappticka (VU), ostticka (VU), rynkskinn (VU), ulltickeporing (VU), barrviolspindling (NT), gammelgransskål (NT), garnlav (NT), granticka (NT), grynig filtlav (NT), gränsticka (NT), harticka (NT), knottrig blåslav (NT), liten svartspik (NT), lunglav (NT), nordlig nållav (NT), olivbrun gytterlav (NT), rosenticka (NT), röd trolldruva (NT), skrovellav (NT), talltita (NT, §4), tretåig hackspett (NT, §4), ullticka (NT), vedtrappmossa (NT), vitgrynig nållav (NT), vitskaftad svartspik (NT), mörk kådsvartspik (DD), barkkornlav (S), barrfagerspindling (S), bårdlav (S), diskvaxskivling (S), dvärgtufs (S), gytterlav (S), kamjordstjärna (S), korallblylav (S), källmossor (S), luddlav (S), mörk husmossa (S), skinnlav (S), spindelblomster (S, §8), stuplav (S), svart trolldruva (S), svavelriska (S), tibast (S), ögonpyrola (S), lavskrika (§4), skogsrör (§7) och revlummer (§9). Av dessa är 31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92914"/>
            <wp:docPr id="1" name="Picture 1"/>
            <wp:cNvGraphicFramePr>
              <a:graphicFrameLocks noChangeAspect="1"/>
            </wp:cNvGraphicFramePr>
            <a:graphic>
              <a:graphicData uri="http://schemas.openxmlformats.org/drawingml/2006/picture">
                <pic:pic>
                  <pic:nvPicPr>
                    <pic:cNvPr id="0" name="A 29408-2022 karta.png"/>
                    <pic:cNvPicPr/>
                  </pic:nvPicPr>
                  <pic:blipFill>
                    <a:blip r:embed="rId16"/>
                    <a:stretch>
                      <a:fillRect/>
                    </a:stretch>
                  </pic:blipFill>
                  <pic:spPr>
                    <a:xfrm>
                      <a:off x="0" y="0"/>
                      <a:ext cx="5486400" cy="1492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7202657, E 538307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Njurlavsknapp (EN) </w:t>
      </w:r>
      <w:r>
        <w:t>är en mycket sällsynt parasitisk svamp som växer på signalarten stuplav. Njurlavsknappen ställer höga krav på sin livsmiljö och är beroende av hög och jämn luftfuktighet, sannolikt krävs det ett suboceaniskt lokalklimat för att den ska trivas på sina lokaler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Olivbrun gytterlav (NT)</w:t>
      </w:r>
      <w:r>
        <w:t xml:space="preserve"> växer på barken av flera olika mossbelupna lövträd, främst asp, ask och lönn. Den är beroende av hög och jämn luftfuktighet och är placerad högst upp i Skogsstyrelsens värdepyramid för bedömning av skog med höga naturvärden. Laven hotas av avverkning av asp i blandskogsbestånd och av att gamla vårdträd, alléträd m.m. avverkas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talltita (NT, §4), tretåig hackspett (NT, §4), spindelblomster (S, §8), lavskrika (§4), skogsrör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1866537"/>
            <wp:docPr id="2" name="Picture 2"/>
            <wp:cNvGraphicFramePr>
              <a:graphicFrameLocks noChangeAspect="1"/>
            </wp:cNvGraphicFramePr>
            <a:graphic>
              <a:graphicData uri="http://schemas.openxmlformats.org/drawingml/2006/picture">
                <pic:pic>
                  <pic:nvPicPr>
                    <pic:cNvPr id="0" name="A 29408-2022 karta knärot.png"/>
                    <pic:cNvPicPr/>
                  </pic:nvPicPr>
                  <pic:blipFill>
                    <a:blip r:embed="rId17"/>
                    <a:stretch>
                      <a:fillRect/>
                    </a:stretch>
                  </pic:blipFill>
                  <pic:spPr>
                    <a:xfrm>
                      <a:off x="0" y="0"/>
                      <a:ext cx="5486400" cy="18665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7202657, E 538307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52 naturvårdsarter varav 31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