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56632-2024 i Vilhelmina kommun</w:t>
      </w:r>
    </w:p>
    <w:p>
      <w:r>
        <w:t>Denna tillsynsbegäran behandlar höga naturvärden i avverkningsanmälan A 56632-2024 i Vilhelmina kommun som inkom 2024-11-29 och omfattar 36,4 ha.</w:t>
      </w:r>
    </w:p>
    <w:p>
      <w:pPr>
        <w:pStyle w:val="Caption"/>
      </w:pPr>
      <w:r>
        <w:drawing>
          <wp:inline xmlns:a="http://schemas.openxmlformats.org/drawingml/2006/main" xmlns:pic="http://schemas.openxmlformats.org/drawingml/2006/picture">
            <wp:extent cx="5486400" cy="4489044"/>
            <wp:docPr id="1" name="Picture 1"/>
            <wp:cNvGraphicFramePr>
              <a:graphicFrameLocks noChangeAspect="1"/>
            </wp:cNvGraphicFramePr>
            <a:graphic>
              <a:graphicData uri="http://schemas.openxmlformats.org/drawingml/2006/picture">
                <pic:pic>
                  <pic:nvPicPr>
                    <pic:cNvPr id="0" name="A 56632-2024 karta.png"/>
                    <pic:cNvPicPr/>
                  </pic:nvPicPr>
                  <pic:blipFill>
                    <a:blip r:embed="rId16"/>
                    <a:stretch>
                      <a:fillRect/>
                    </a:stretch>
                  </pic:blipFill>
                  <pic:spPr>
                    <a:xfrm>
                      <a:off x="0" y="0"/>
                      <a:ext cx="5486400" cy="44890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7244034, E 551207 i SWEREF 99 TM.</w:t>
      </w:r>
    </w:p>
    <w:p>
      <w:r>
        <w:t>I avverkningsanmälan finns fynd av 7 naturvårdsarter, varav 4 är rödlistade, 1 är fridlyst, 6 är typiska (T) och 3 är signalarter (S): garnlav (VU, T), harticka (NT, T), tretåig hackspett (NT, T, §4), vitgrynig nållav (NT), gulnål (S, T), mörk husmossa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harticka (NT, T), tretåig hackspett (NT, T, §4), gulnål (S, T), mörk husmossa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