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och fridlysta arter i avverkningsanmälan A 60737-2024 i Vilhelmina kommun</w:t>
      </w:r>
    </w:p>
    <w:p>
      <w:r>
        <w:t>Denna tillsynsbegäran behandlar höga naturvärden i avverkningsanmälan A 60737-2024 i Vilhelmina kommun som inkom 2024-12-18 och omfattar 198,1 ha.</w:t>
      </w:r>
    </w:p>
    <w:p>
      <w:pPr>
        <w:pStyle w:val="Caption"/>
      </w:pPr>
      <w:r>
        <w:drawing>
          <wp:inline xmlns:a="http://schemas.openxmlformats.org/drawingml/2006/main" xmlns:pic="http://schemas.openxmlformats.org/drawingml/2006/picture">
            <wp:extent cx="5486400" cy="5007518"/>
            <wp:docPr id="1" name="Picture 1"/>
            <wp:cNvGraphicFramePr>
              <a:graphicFrameLocks noChangeAspect="1"/>
            </wp:cNvGraphicFramePr>
            <a:graphic>
              <a:graphicData uri="http://schemas.openxmlformats.org/drawingml/2006/picture">
                <pic:pic>
                  <pic:nvPicPr>
                    <pic:cNvPr id="0" name="A 60737-2024 karta.png"/>
                    <pic:cNvPicPr/>
                  </pic:nvPicPr>
                  <pic:blipFill>
                    <a:blip r:embed="rId16"/>
                    <a:stretch>
                      <a:fillRect/>
                    </a:stretch>
                  </pic:blipFill>
                  <pic:spPr>
                    <a:xfrm>
                      <a:off x="0" y="0"/>
                      <a:ext cx="5486400" cy="5007518"/>
                    </a:xfrm>
                    <a:prstGeom prst="rect"/>
                  </pic:spPr>
                </pic:pic>
              </a:graphicData>
            </a:graphic>
          </wp:inline>
        </w:drawing>
      </w:r>
    </w:p>
    <w:p>
      <w:pPr>
        <w:pStyle w:val="Caption"/>
        <w:spacing w:after="240"/>
      </w:pPr>
      <w:r>
        <w:t>Figur 1. Fyndplatser för naturvårdsarter i och inom 22 meter från avverkningsanmälan. Markörer utan svart kant är placerade på fyndplatsen. Markörer med svart kant är placerade vid sidan av fyndplatsen och har ett svart streck som visar fyndplatsens exakta position. Kartans mittpunktskoordinat är N 7208585, E 508969 i SWEREF 99 TM.</w:t>
      </w:r>
    </w:p>
    <w:p>
      <w:r>
        <w:t>I och inom 22 meter från avverkningsanmälan finns fynd av 8 naturvårdsarter, varav 5 är rödlistade, 4 är fridlysta, 6 är typiska (T) och 1 är signalart (S): garnlav (VU, T), gränsticka (VU, T), alfågel (NT, §4), tretåig hackspett (NT, T, §4), ullticka (NT, T), kransrams (S, T), järpe (T, §4) och skogsrör (§7).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begär vidare att Skogsstyrelsen säkerställer att inga skador eller försämringar av naturtypens bevarandestatus i området tillåts ske. Se Rådets direktiv 92/43/EEG samt ickeförsämringskravet i EU:s naturrestaureringsförordning (EU 2024/1991).</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Garnlav (VU)</w:t>
      </w:r>
      <w:r>
        <w:t xml:space="preserve"> är en utpräglad barrskogsart som ibland kan drapera träden i norrländska grannaturskogar med hög luftfuktighet. Den förekommer även i talldominerade bestånd där den, förutom i trädens grenverk, påträffas hängande över ojämnheter i tallbarken. Arten har minskat starkt i södra och mellersta Sverige och den minskar även i sitt nordliga utbredningsområde. Minskningstakten uppgår till 30 (20–50) % inom 50 år och överstiger gränsvärdet för Sårbar (VU). Orsaken till tillbakagången beror främst på slutavverkningar av naturskogsartade skogar. Bestånd med riklig förekomst bör regelmässigt sparas, vilket även gynnar flera andra sällsynta och rödlistade arter. Garnlav är värdväxt för den mycket sällsynta och akut hotade fjärilen barrskogslavfly (CR) som hör hemma i boreala barrskogar med riklig förekomst av värdväxten. Tidigare kunde arten konstateras årligen på flera platser vid Dala-Floda i Dalarna innan lokalerna kalavverkades. Senaste fyndet i landet av barrskogslavfly är från år 2000 då den påträffades vid Högberget i Sollefteå kommun. Garnlav är typisk art för </w:t>
      </w:r>
      <w:r>
        <w:rPr>
          <w:i/>
        </w:rPr>
        <w:t xml:space="preserve">9010 Taiga </w:t>
      </w:r>
      <w:r>
        <w:t>och</w:t>
      </w:r>
      <w:r>
        <w:rPr>
          <w:i/>
        </w:rPr>
        <w:t xml:space="preserve"> 9070 Trädklädd betesmark</w:t>
      </w:r>
      <w:r>
        <w:t xml:space="preserve"> (SLU Artdatabanken, 2026).</w:t>
      </w:r>
    </w:p>
    <w:p>
      <w:r>
        <w:rPr>
          <w:b/>
        </w:rPr>
        <w:t>Gränsticka (VU)</w:t>
      </w:r>
      <w:r>
        <w:t xml:space="preserve"> är en mycket bra signalart inom hela sitt utbredningsområde. Den är huvudsakligen knuten till restbestånd av barrnaturskog och förekommer med ett tydligt optimum i orörda eller måttligt påverkade gamla granskogar där det föreligger långvarig kontinuitet av grov död ved. Den totala populationen bedöms ha minskat och fortsätter att minska i takt med att grankontinuitetsskogar (äldre tidigare icke kalavverkade skogar) minskar i areal. Minskningstakten överstiger gränsvärdet för sårbar (VU). Lokaler som hyser arten bör undantas från skogsbruk, speciellt i mellersta och södra Sverige. Gränsticka är typisk art för </w:t>
      </w:r>
      <w:r>
        <w:rPr>
          <w:i/>
        </w:rPr>
        <w:t>9010 Taiga</w:t>
      </w:r>
      <w:r>
        <w:t xml:space="preserve"> (SLU Artdatabanken, 2026; Nitare &amp; Skogsstyrelsen, 2019).</w:t>
      </w:r>
    </w:p>
    <w:p>
      <w:r>
        <w:rPr>
          <w:b/>
        </w:rPr>
        <w:t>Tretåig hackspett (NT, §4)</w:t>
      </w:r>
      <w:r>
        <w:t xml:space="preserve"> är rödlistad som nära hotad och ingår i bilaga 1 i EU:s fågeldirektiv. Tretåig hackspett är för sin överlevnad beroende av kontinuerlig tillförsel av äldre döende och död ved, som sker genom naturliga självgallringsprocesser i äldre grannaturskogar och barrblandade naturskogar. Om en skog genom skogsbruk gallras eller glesas ur så upphör och uteblir i stort sett den naturliga självgallringsprocessen för mycket lång tid framöver vilket omöjliggör upprätthållandet av den kontinuerliga ekologiska funktionen i ett område. Det finns studier som visar att naturskogens självgallringsprocess som den tretåiga hackspetten är beroende av, inte kan ersättas med efterlämnad hänsyn i skogsbruket (Imbeau &amp; Desrochers, 2002). Storleken på häckningsreviret varierar med skogstypen, förekomsten av död ved och graden av fragmentering, men är i allmänhet i storleksordningen 25–100 hektar. Vintertid krävs ofta betydligt större områden och det finns studier som antyder att arten behöver minst 100 hektar äldre skog. I områden med låg bonitet kan det behövas över 200 hektar lämpligt habitat för att ett par ska kunna reproducera sig. Områden med dokumenterad permanent förekomst i naturskogsmiljöer har vanligen så stora naturvärden att skogsbruk är olämpligt. Tretåig hackspett är typisk art för </w:t>
      </w:r>
      <w:r>
        <w:rPr>
          <w:i/>
        </w:rPr>
        <w:t xml:space="preserve">9010 Taiga, 9740 Skogsbevuxen myr, 9030 Landhöjningsskog </w:t>
      </w:r>
      <w:r>
        <w:t xml:space="preserve">och </w:t>
      </w:r>
      <w:r>
        <w:rPr>
          <w:i/>
        </w:rPr>
        <w:t>9040 Fjällbjörkskog</w:t>
      </w:r>
      <w:r>
        <w:t xml:space="preserve"> (Skogsstyrelsen, 2016; SLU Artdatabanken, 2024).</w:t>
      </w:r>
    </w:p>
    <w:p>
      <w:r>
        <w:rPr>
          <w:b/>
        </w:rPr>
        <w:t>Ullticka (NT)</w:t>
      </w:r>
      <w:r>
        <w:t xml:space="preserve"> är knuten till restbestånd av barrnaturskog och förekommer med ett tydligt optimum i orörda eller måttligt påverkade gamla granskogar där det föreligger viss kontinuitet av grov död ved. Ullticka är en bra signalart inom hela sitt utbredningsområde och i södra Sverige är den sällsynt och en god signalart för skyddsvärda granskogsmiljöer. Den hotas av avverkning och fragmentering av naturskog och äldre granskog med lång trädkontinuitet. På ullticka kan ibland ulltickeporing (VU) påträffas - det är en sällsynt ticka som nyligen delats upp i de tre olika arterna ulltickeporing </w:t>
      </w:r>
      <w:r>
        <w:rPr>
          <w:i/>
        </w:rPr>
        <w:t xml:space="preserve">Skeletocutis brevispora </w:t>
      </w:r>
      <w:r>
        <w:t>(VU)</w:t>
      </w:r>
      <w:r>
        <w:rPr>
          <w:i/>
        </w:rPr>
        <w:t>, Skeletocutis delicata</w:t>
      </w:r>
      <w:r>
        <w:t xml:space="preserve"> (VU)</w:t>
      </w:r>
      <w:r>
        <w:rPr>
          <w:i/>
        </w:rPr>
        <w:t xml:space="preserve"> och Skeletocutis exilis</w:t>
      </w:r>
      <w:r>
        <w:t xml:space="preserve"> (NT). Ullticka är typisk art för </w:t>
      </w:r>
      <w:r>
        <w:rPr>
          <w:i/>
        </w:rPr>
        <w:t xml:space="preserve">9010 Taiga, 9050 Näringsrik granskog </w:t>
      </w:r>
      <w:r>
        <w:t xml:space="preserve">och </w:t>
      </w:r>
      <w:r>
        <w:rPr>
          <w:i/>
        </w:rPr>
        <w:t>9030 Landhöjningsskog</w:t>
      </w:r>
      <w:r>
        <w:t xml:space="preserve"> (SLU Artdatabanken, 2026; Nitare &amp; Skogsstyrelsen, 2019; Miettinen &amp; Niemelä, 2018).</w:t>
      </w:r>
    </w:p>
    <w:p>
      <w:r>
        <w:rPr>
          <w:b/>
        </w:rPr>
        <w:t>Kransrams</w:t>
      </w:r>
      <w:r>
        <w:t xml:space="preserve"> är typisk art för </w:t>
      </w:r>
      <w:r>
        <w:rPr>
          <w:i/>
        </w:rPr>
        <w:t xml:space="preserve">9020 Nordlig ädellövskog </w:t>
      </w:r>
      <w:r>
        <w:t>(SLU Artdatabanken, 2025).</w:t>
      </w:r>
    </w:p>
    <w:p>
      <w:r>
        <w:rPr>
          <w:b/>
        </w:rPr>
        <w:t>Järpe (§4)</w:t>
      </w:r>
      <w:r>
        <w:t xml:space="preserve">, som är upptagen i bilaga 1 och 2 EU:s fågeldirektiv, är mycket stationär inom sitt revir som är minst 25 hektar stort. Livsmiljöerna utgörs av tät barrskog med inblandning av lövträd och en väl utvecklad flerskiktad struktur med bärris och yngre eller undertryckta, täta granar i ett lägre skikt, ofta utmed bäckar och åar inne i den skyddande granskogen. Den överlever inte om dess livsmiljö kalavverkas och är även känslig för röjning, gallring och avverkning där unga granar och lövträd inte sparas i tillräcklig omfattning. Arten finns i sammanhängande grandominerad skog över hela Sverige men förekomsterna är betydligt glesare i Götaland än i övriga landet. Järpe är typisk art för </w:t>
      </w:r>
      <w:r>
        <w:rPr>
          <w:i/>
        </w:rPr>
        <w:t xml:space="preserve">9010 Taiga, 9080 Lövsumpskog </w:t>
      </w:r>
      <w:r>
        <w:t xml:space="preserve">och </w:t>
      </w:r>
      <w:r>
        <w:rPr>
          <w:i/>
        </w:rPr>
        <w:t xml:space="preserve">9740 Skogsbevuxen myr </w:t>
      </w:r>
      <w:r>
        <w:t>(SLU Artdatabanken, 2026).</w:t>
      </w:r>
    </w:p>
    <w:p>
      <w:r>
        <w:rPr>
          <w:b/>
        </w:rPr>
        <w:t>Skogsrör (§7)</w:t>
      </w:r>
      <w:r>
        <w:t xml:space="preserve"> är strikt skyddad enligt EU:s art- och habitatdirektiv och fridlyst enligt §7 Artskyddsförordningen (bilaga 1) vilket innebär att hela dess livsmiljö ska bevaras. Arten är en svensk-norsk endem som förekommer sparsamt till sällsynt i mellersta Norrland, i såväl lågland som fjällnära delar. Den är något kalkgynnad och växer i fuktiga-friska, gärna sluttande och rika skogar, både gran-, bland och björkskogar, i myrkanter samt längs vattendrag och raviner. Skogsrör är känslig för dränering och på dikade lokaler bör hydrologin återställas (SLU Artdatabanken, 2024).</w:t>
      </w:r>
    </w:p>
    <w:p>
      <w:pPr>
        <w:pStyle w:val="Heading1"/>
      </w:pPr>
      <w:r>
        <w:t>EU:s fågeldirektiv</w:t>
      </w:r>
    </w:p>
    <w:p>
      <w:r>
        <w:t xml:space="preserve">Europeiska unionens medlemsländer är skyldiga att agera i enlighet med EU:s fågeldirektiv där det uttryckligen står att direktivet gäller för fåglar samt för deras ägg, bon och </w:t>
      </w:r>
      <w:r>
        <w:rPr>
          <w:b/>
        </w:rPr>
        <w:t xml:space="preserve">livsmiljöer </w:t>
      </w:r>
      <w:r>
        <w:t>(artikel 1). Vidare att de åtgärder som vidtas inte får leda till en försämring av den nuvarande situationen beträffande bevarandet av de fågelarter som avses i artikel 1 (artikel 13). Fågeldirektivet är styrande för tillsynsansvariga myndigheters ärendehantering, ställningstaganden och beslutsfattande.</w:t>
      </w:r>
    </w:p>
    <w:p>
      <w:pPr>
        <w:pStyle w:val="Heading1"/>
      </w:pPr>
      <w:r>
        <w:t>Typiska arter och EU:s art- och habitatdirektiv</w:t>
      </w:r>
    </w:p>
    <w:p>
      <w:r>
        <w:t>Typiska arter används för att lokalisera områden med gynnsam bevarandestatus för de naturtyper som är listade i EU:s art- och habitatdirektiv. Ett exempel är Västlig taiga (EU-kod 9010) som saknar gynnsam bevarandestatus och minskar starkt som naturtyp i Sverige. Naturvårdsverket skriver i sin vägledning för Västlig taiga att dylika miljöer förutsätter normalt att skogarna skyddas långsiktigt, eftersom skogsbruk inte är förenligt med bevarande av naturtypen i gynnsamt tillstånd (Naturvårdsverket, 2011).</w:t>
      </w:r>
    </w:p>
    <w:p>
      <w:r>
        <w:t>Följande typiska arter har sina livsmiljöer och växtplatser i den avverkningsanmälda skogen: garnlav (VU, T), gränsticka (VU, T), tretåig hackspett (NT, T, §4), ullticka (NT, T), kransrams (S, T) och järpe (T, §4).</w:t>
      </w:r>
    </w:p>
    <w:p>
      <w:r>
        <w:t>Enligt Sveriges Artikel 17 rapportering 2013 och 2019 till EU, har naturtypen Västlig taiga (9010) dålig bevarandestatus med negativ trend inom Sveriges boreala region. Skogsbruksåtgärder som avverkning, röjning och gallring pekas ut som några av de främst bidragande orsakerna till naturtypens dåliga status och negativa trend (SLU Artdatabanken, 2019). I EU:s uppföljning av tillståndet för naturtyperna i Skandinavien 2013 – 2018 framgår det att i den boreala regionen är tillståndet så dåligt för Västlig taiga (9010) att habitatet löper allvarlig risk att försvinna regionalt (EEA, 2022). Det allvarliga läget för den biologiska mångfalden i skogen framhålls även i Skogsstyren rapport 2026/07:</w:t>
      </w:r>
    </w:p>
    <w:p>
      <w:r>
        <w:rPr>
          <w:i/>
        </w:rPr>
        <w:t>"All avverkning av kända skogliga värdekärnor och sannolika kontinuitetsskogar behöver upphöra för att fylla bristen om 1,56 miljoner hektar bevarad livsmiljötyp. På grund av begränsade kvarvarande arealer av värdekärnor, naturskogar och kontinuitetsskogar leder fortsatt förlust av dessa till en påtaglig risk för långsiktigt negativa effekter för biologisk mångfald i skogslandskapet. Att de återstående arealerna bevaras och ges ett långsiktigt skydd bedöms därför vara av avgörande betydelse."</w:t>
      </w:r>
      <w:r>
        <w:t xml:space="preserve"> (Skogsstyrelsen, 2026).</w:t>
      </w:r>
    </w:p>
    <w:p>
      <w:r>
        <w:t>Trots detta har statusen för Västlig taiga ändrats till otillräcklig i stället för dålig i den senaste Artikel 17 rapporteringen 2025. Av Naturvårdsverkets rapport framgår det dock att de ändrade statusbedömningarna jämfört med rapporteringen 2019 inte beror på faktiska miljöförändringar. Ändringarna är av teknisk karaktär och främst en följd av resultaten från genomförda regeringsuppdrag och beslut inför rapporteringen 2025. Det är alltså politisk styrning i stället för faktiska förhållanden i naturen som ändrat på naturtypernas status i rapporteringen, vilket rimmar dåligt med såväl art- och habitatdirektivets syften och mål som med naturrestaureringsförordningen. I praktiken har dock Sveriges nya sätt att rapportera bevarandestatus till EU inte någon betydelse eftersom Naturvårdsverkets rapportering 2025 visar att Västlig taiga</w:t>
      </w:r>
      <w:r>
        <w:rPr>
          <w:b/>
        </w:rPr>
        <w:t xml:space="preserve"> </w:t>
      </w:r>
      <w:r>
        <w:t>inte har gynnsam bevarandestatus.</w:t>
      </w:r>
    </w:p>
    <w:p>
      <w:r>
        <w:t>Åtgärder som vidtas i enlighet med art- och habitatdirektivet ska enligt Artikel 2 syfta till att bibehålla eller återställa en gynnsam bevarandestatus hos livsmiljöer samt arter och vilda djur och växter av gemenskapsintresse. Enligt prejudikat från EU-domstolen ska en skogsbruksverksamhet utföras på ett sådant sätt som utgör ett förebyggande och hållbart skogsbruk för att betraktas som förenlig med bevarandekraven i direktivet (se EU-domstolens dom i de förenade målen C 473-19 och C 474-19).</w:t>
      </w:r>
    </w:p>
    <w:p>
      <w:r>
        <w:t xml:space="preserve">Av artikel 1.e samma direktiv framgår att en livsmiljös bevarandestatus anses " gynnsam" när — dess naturliga utbredningsområde och de ytor den täcker inom detta område är stabila eller ökande, och — den särskilda struktur och de särskilda funktioner som är nödvändiga för att den skall kunna bibehållas på lång sikt finns, och sannolikt kommer att finnas under en överskådlig framtid, och — bevarandestatusen hos dess </w:t>
      </w:r>
      <w:r>
        <w:rPr>
          <w:b/>
        </w:rPr>
        <w:t>typiska arter</w:t>
      </w:r>
      <w:r>
        <w:t xml:space="preserve"> är gynnsam enligt definitionen i artikel 1.i.</w:t>
      </w:r>
    </w:p>
    <w:p>
      <w:r>
        <w:t>EU-direktiv är bindande för EU:s medlemsländer varvid det ankommer på Skogsstyrelsen som nationell tillsynsmyndighet att beakta syftet med EU:s art- och habitatdirektiv vid prövningen av en skogsbruksverksamhet, se Rådets direktiv 92/43/EEG. Se ytterligare information om EU:s livsmiljödirektiv i bilaga 2.</w:t>
      </w:r>
    </w:p>
    <w:p>
      <w:r>
        <w:br w:type="page"/>
      </w:r>
    </w:p>
    <w:p>
      <w:pPr>
        <w:pStyle w:val="Title"/>
      </w:pPr>
      <w:r>
        <w:t>BILAGA 1 – Fridlysta arter</w:t>
      </w:r>
    </w:p>
    <w:p>
      <w:pPr>
        <w:pStyle w:val="Heading1"/>
      </w:pPr>
      <w:r>
        <w:t>Tretåig hackspett – ekologi samt krav på livsmiljön</w:t>
      </w:r>
    </w:p>
    <w:p>
      <w:r>
        <w:t xml:space="preserve">Tretåig hackspett (NT) är fridlyst enligt §4 Artskyddsförordningen och finns med som prioriterad art i Skogsstyrelsen vägledning för skogsbruket (bilaga 4 till SVL). I vägledningen står bland annat att: </w:t>
      </w:r>
      <w:r>
        <w:rPr>
          <w:i/>
        </w:rPr>
        <w:t xml:space="preserve">“Tretåig hackspett har stora arealkrav och höga krav på sin livsmiljö. Omdaningen av naturskogar till kulturskogar medför en förlust av viktiga miljöer, något som förstärks av ökad fragmentering till följd av avverkningar.” </w:t>
      </w:r>
      <w:r>
        <w:t xml:space="preserve">Vidare att: </w:t>
      </w:r>
      <w:r>
        <w:rPr>
          <w:i/>
        </w:rPr>
        <w:t>“Områden med dokumenterad permanent förekomst i naturskogsmiljöer har vanligen så stora naturvärden att skogsbruk är olämpligt”</w:t>
      </w:r>
      <w:r>
        <w:t xml:space="preserve"> (SLU Artdatabanken, 2024; Skogsstyrelsen, 2016)</w:t>
      </w:r>
      <w:r>
        <w:rPr>
          <w:i/>
        </w:rPr>
        <w:t>.</w:t>
      </w:r>
    </w:p>
    <w:p>
      <w:r>
        <w:t>Tretåig hackspett är beroende av större sammanhängande naturskogar med kontinuerlig tillgång och nybildning av död ved och fragmentering av livsmiljöerna utgör ett stort hot mot arten (se exempelvis Stachura-Skierczynska et al., 2009; Wesolowski et al., 2005; Butler et al., 2004; Pakkala et al., 2002; Amcoff et al., 1996; Virkkala, 1991). Det finns studier som visar att naturskogens självgallringsprocess som den tretåiga hackspetten är beroende av, inte kan ersättas med efterlämnad hänsyn i skogsbruket (Imbeau &amp; Desrochers, 2002).</w:t>
      </w:r>
    </w:p>
    <w:p>
      <w:r>
        <w:t>Permanenta revir av tretåig hackspett karaktäriseras ofta av artens typiska ringformigt ordnade hackmärken på framför allt gamla granar. För att säkerställa att inte revir av tretåig hackspett drabbas av avverkningsplanerna bör en inventering göras i området både under häckningstid och under vintern, då arten utnyttjar betydligt större områden än under sommarens häckningsrevir. Storleken på häckningsreviret varierar med skogstypen, förekomsten av död ved och graden av fragmentering, men är i allmänhet i storleksordningen 25–100 hektar (SLU Artdatabanken, 2024; Skogsstyrelsen, 2016).</w:t>
      </w:r>
    </w:p>
    <w:p>
      <w:r>
        <w:t xml:space="preserve">Förutom fridlysning enligt §4 Artskyddsförordningen är tretåig hackspett även förtecknad i EU:s fågeldirektiv bilaga 1. Den är typisk art för </w:t>
      </w:r>
      <w:r>
        <w:rPr>
          <w:i/>
        </w:rPr>
        <w:t xml:space="preserve">9010 Taiga, 9740 Skogsbevuxen myr, 9030 Landhöjningsskog </w:t>
      </w:r>
      <w:r>
        <w:t xml:space="preserve">och </w:t>
      </w:r>
      <w:r>
        <w:rPr>
          <w:i/>
        </w:rPr>
        <w:t>9040 Fjällbjörkskog</w:t>
      </w:r>
      <w:r>
        <w:t xml:space="preserve"> samt ingår i Natura 2000 och är förtecknad i Bernkonventionen bilaga II (strikt skyddade djurarter) (SLU Artdatabanken, 2024; Skogsstyrelsen, 2016).</w:t>
      </w:r>
    </w:p>
    <w:p>
      <w:pPr>
        <w:pStyle w:val="Heading2"/>
      </w:pPr>
      <w:r>
        <w:t>Referenser – tretåig hackspett</w:t>
      </w:r>
    </w:p>
    <w:p>
      <w:r>
        <w:t xml:space="preserve">Amcoff, M. &amp; Eriksson, P. 1996. </w:t>
      </w:r>
      <w:r>
        <w:rPr>
          <w:i/>
        </w:rPr>
        <w:t xml:space="preserve">Förekomst av tretåig hackspett Picoides tridactylus på bestånds- och landskapsnivå. </w:t>
      </w:r>
      <w:r>
        <w:t>Ornis Svecica 6: 107–119.</w:t>
      </w:r>
    </w:p>
    <w:p>
      <w:r>
        <w:t xml:space="preserve">Butler, R., Angelstam, P., Ekelund, P. &amp; Schlaeffer, R. 2004. </w:t>
      </w:r>
      <w:r>
        <w:rPr>
          <w:i/>
        </w:rPr>
        <w:t xml:space="preserve">Dead wood threshold values for the three-toed woodpecker presence in boreal and sub-Alpine forest. </w:t>
      </w:r>
      <w:r>
        <w:t>Biological conservation 119(3): 305–318.</w:t>
      </w:r>
    </w:p>
    <w:p>
      <w:r>
        <w:t xml:space="preserve">Imbeau, L. &amp; Desrochers, A. 2002. </w:t>
      </w:r>
      <w:r>
        <w:rPr>
          <w:i/>
        </w:rPr>
        <w:t xml:space="preserve">Foraging Ecology and Use of Drumming Trees by Three-Toed Woodpeckers. </w:t>
      </w:r>
      <w:r>
        <w:t>The Journal of Wildlife Management. Vol. 66, No. 1 (Jan., 2002), pp. 222–231.</w:t>
      </w:r>
    </w:p>
    <w:p>
      <w:r>
        <w:t xml:space="preserve">Pakkala, T., Hanski, I. &amp; Tomppo, E. 2002. </w:t>
      </w:r>
      <w:r>
        <w:rPr>
          <w:i/>
        </w:rPr>
        <w:t xml:space="preserve">Spatial ecology of the three-toed woodpecker in managed forest landscapes. </w:t>
      </w:r>
      <w:r>
        <w:t>Silva Fennica 36(1): 279–288.</w:t>
      </w:r>
    </w:p>
    <w:p>
      <w:r>
        <w:t xml:space="preserve">Skogsstyrelsen, 2016. </w:t>
      </w:r>
      <w:r>
        <w:rPr>
          <w:i/>
        </w:rPr>
        <w:t>Vägledning för hänsyn till fåglar – Tretåig hackspett.</w:t>
      </w:r>
    </w:p>
    <w:p>
      <w:r>
        <w:t xml:space="preserve">SLU Artdatabanken, 2024. </w:t>
      </w:r>
      <w:r>
        <w:rPr>
          <w:i/>
        </w:rPr>
        <w:t xml:space="preserve">Artfaktablad. Naturvård – artfakta. </w:t>
      </w:r>
      <w:r>
        <w:t>SLU Artdatabanken, Uppsala.</w:t>
      </w:r>
    </w:p>
    <w:p>
      <w:r>
        <w:t xml:space="preserve">Stachura-Skierczynska, K., Tumiel, T. &amp; Skierczynski, M. 2009. </w:t>
      </w:r>
      <w:r>
        <w:rPr>
          <w:i/>
        </w:rPr>
        <w:t xml:space="preserve">Habitat prediction model for three-toed woodpecker and its implications for the conservation of biologically valuable forests. </w:t>
      </w:r>
      <w:r>
        <w:t>Forest Ecology and Management 258(5): 697–703.</w:t>
      </w:r>
    </w:p>
    <w:p>
      <w:r>
        <w:t xml:space="preserve">Virkkala, R. 1991. </w:t>
      </w:r>
      <w:r>
        <w:rPr>
          <w:i/>
        </w:rPr>
        <w:t xml:space="preserve">Population trends of forest birds in a Finnish Lapland landscape of large habitat blocks – Consequences of stochastic environmental variation or regional habitat alteration. </w:t>
      </w:r>
      <w:r>
        <w:t>Biological conservation 56(2): 223–240.</w:t>
      </w:r>
    </w:p>
    <w:p>
      <w:r>
        <w:t xml:space="preserve">Wesolowski, T., Czeszczewik, D. &amp; Rowinski, P. 2005. </w:t>
      </w:r>
      <w:r>
        <w:rPr>
          <w:i/>
        </w:rPr>
        <w:t xml:space="preserve">Effects of forest management on Three-toed Woodpecker Picoides tridactylus distribution in the Bialowieza Forest (NE Poland): conservation implications. </w:t>
      </w:r>
      <w:r>
        <w:t>Acta Ornithologica 40(1): 53–60.</w:t>
      </w:r>
    </w:p>
    <w:p>
      <w:pPr>
        <w:pStyle w:val="Heading1"/>
      </w:pPr>
      <w:r>
        <w:t>Järpe – ekologi samt krav på livsmiljön</w:t>
      </w:r>
    </w:p>
    <w:p>
      <w:r>
        <w:t>Järpe är fridlyst enligt 4§ artskyddsförordningen och upptagen i bilaga 1 och 2 EU:s fågeldirektiv. Den finns i sammanhängande grandominerad skog över hela Sverige men förekomsterna är betydligt glesare i Götaland än i övriga landet. Järpen har sina livsmiljöer i tät barrskog med inblandning av lövträd och en väl utvecklad flerskiktad struktur med bärris och yngre eller undertryckta, täta granar i ett lägre skikt, ofta utmed bäckar och åar inne i den skyddande granskogen (SLU Artdatabanken, 2026).</w:t>
      </w:r>
    </w:p>
    <w:p>
      <w:r>
        <w:t xml:space="preserve">Arten behöver lämpliga skogsbestånd om sammanlagt minst 25 hektar. Den är mycket stationär inom sitt revir och när ett par etablerat sig stannar de så länge miljön är intakt. Den undviker öppen mark och förﬂyttar sig sällan över större öppna myrar eller åkermark, och är därför känslig för fragmentering. Järpen överlever inte om dess livsmiljö kalavverkas och är även känslig för röjning, gallring och avverkning där unga granar och lövträd inte sparas i tillräcklig omfattning.  Järpe är typisk art för </w:t>
      </w:r>
      <w:r>
        <w:rPr>
          <w:i/>
        </w:rPr>
        <w:t>9010 Taiga, 9740 Skogsbevuxen myr</w:t>
      </w:r>
      <w:r>
        <w:t xml:space="preserve"> och </w:t>
      </w:r>
      <w:r>
        <w:rPr>
          <w:i/>
        </w:rPr>
        <w:t>9080 Lövsumpskog</w:t>
      </w:r>
      <w:r>
        <w:t xml:space="preserve"> (SLU Artdatabanken, 2026).</w:t>
      </w:r>
    </w:p>
    <w:p>
      <w:pPr>
        <w:pStyle w:val="Heading2"/>
      </w:pPr>
      <w:r>
        <w:t>Referenser – järpe</w:t>
      </w:r>
    </w:p>
    <w:p>
      <w:r>
        <w:t xml:space="preserve">SLU Artdatabanken, 2026. </w:t>
      </w:r>
      <w:r>
        <w:rPr>
          <w:i/>
        </w:rPr>
        <w:t xml:space="preserve">Artfaktablad. Naturvård – artfakta. </w:t>
      </w:r>
      <w:r>
        <w:t>SLU Artdatabanken, Uppsala</w:t>
      </w:r>
    </w:p>
    <w:p>
      <w:r>
        <w:br w:type="page"/>
      </w:r>
    </w:p>
    <w:p>
      <w:pPr>
        <w:pStyle w:val="Title"/>
      </w:pPr>
      <w:r>
        <w:t>BILAGA 2 – EU:s art- och habitatdirektiv, fågeldirektiv och naturrestaureringsförordning</w:t>
      </w:r>
    </w:p>
    <w:p>
      <w:pPr>
        <w:pStyle w:val="Heading2"/>
      </w:pPr>
      <w:r>
        <w:t>Förenlighet med EU-direktiv</w:t>
      </w:r>
    </w:p>
    <w:p>
      <w:r>
        <w:t>EU-direktiv är bindande för EU:s medlemsländer varvid det ankommer på Skogsstyrelsen som nationell tillsynsmyndighet att beakta syftet med EU:s art- och habitatdirektiv respektive fågeldirektiv vid prövningen av en skogsbruksverksamhet, se Rådets direktiv 92/43/EEG samt 2009/147/EG. Nationella regler som omfattas av ett EU-direktiv ska enligt fast rättspraxis tolkas i enlighet med direktivet, vilket medför en skyldighet för myndigheten att tolka bestämmelser i nationell rätt i ljuset av direktivets ordalydelse, sammanhang och de mål som eftersträvas med direktivet (se EU-domstolens dom i mål C 477/19).</w:t>
      </w:r>
    </w:p>
    <w:p>
      <w:r>
        <w:t>EU:s medlemsstater åläggs i Artikel 3 i fågeldirektivet generella skyldigheter avseende skydd, bevarande och återställande av tillräckligt stora och varierande livsmiljöer för de fågelarter som omfattas av direktivet. Medlemsstaterna ska vidta de åtgärder som är nödvändiga för att bibehålla populationen av fågelarterna på en nivå som svarar särskilt mot ekologiska, vetenskapliga och kulturella behov, eller återupprätta populationen av dessa arter till en sådan nivå (se Europaparlamentets och rådets direktiv 2009/147/EG).</w:t>
      </w:r>
    </w:p>
    <w:p>
      <w:r>
        <w:t>Åtgärder som vidtas i enlighet med art- och habitatdirektivet (92/43/EEG) ska enligt Artikel 2 syfta till att bibehålla eller återställa en gynnsam bevarandestatus hos livsmiljöer samt arter och vilda djur och växter av gemenskapsintresse. Enligt prejudikat från EU-domstolen ska en skogsbruksverksamhet utföras på ett sådant sätt som utgör ett förebyggande och hållbart skogsbruk för att betraktas som förenlig med bevarandekraven i direktivet (se EU-domstolens dom i de förenade målen C 473-19 och C 474-19).</w:t>
      </w:r>
    </w:p>
    <w:p>
      <w:r>
        <w:t xml:space="preserve">Av artikel 1.e samma direktiv framgår att en livsmiljös bevarandestatus anses " gynnsam" när — dess naturliga utbredningsområde och de ytor den täcker inom detta område är stabila eller ökande, och — den särskilda struktur och de särskilda funktioner som är nödvändiga för att den skall kunna bibehållas på lång sikt finns, och sannolikt kommer att finnas under en överskådlig framtid, och — bevarandestatusen hos dess </w:t>
      </w:r>
      <w:r>
        <w:rPr>
          <w:b/>
        </w:rPr>
        <w:t>typiska arter</w:t>
      </w:r>
      <w:r>
        <w:t xml:space="preserve"> är gynnsam enligt definitionen i artikel 1.i. Typiska arter används för att lokalisera områden med gynnsam bevarandestatus för de naturtyper som ingår i EU:s art- och habitatdirektiv.</w:t>
      </w:r>
    </w:p>
    <w:p>
      <w:r>
        <w:t>Västlig taiga (EU-kod 9010) saknar gynnsam bevarandestatus och minskar starkt som naturtyp i Sverige. Naturvårdsverket skriver i sin vägledning för västlig taiga att dylika miljöer förutsätter normalt att skogarna skyddas långsiktigt, eftersom skogsbruk inte är förenligt med bevarande av naturtypen i gynnsamt tillstånd (Naturvårdsverket, 2011). Enligt Sveriges Artikel 17 rapportering 2013 och 2019 till EU, har naturtypen Västlig taiga (9010) dålig bevarandestatus med negativ trend inom Sveriges boreala region. Skogsbruksåtgärder som avverkning, röjning och gallring pekas ut som några av de främst bidragande orsakerna till naturtypens dåliga status och negativa trend (SLU Artdatabanken, 2019). I EU:s uppföljning av tillståndet för naturtyperna i Skandinavien 2013 – 2018 framgår det att i den boreala regionen är tillståndet så dåligt för Västlig taiga (9010) att habitatet löper allvarlig risk att försvinna regionalt (EEA, 2022). Det allvarliga läget för den biologiska mångfalden i skogen framhålls även i Skogsstyren rapport 2026/07:</w:t>
      </w:r>
    </w:p>
    <w:p>
      <w:r>
        <w:rPr>
          <w:i/>
        </w:rPr>
        <w:t>"All avverkning av kända skogliga värdekärnor och sannolika kontinuitetsskogar behöver upphöra för att fylla bristen om 1,56 miljoner hektar bevarad livsmiljötyp. På grund av begränsade kvarvarande arealer av värdekärnor, naturskogar och kontinuitetsskogar leder fortsatt förlust av dessa till en påtaglig risk för långsiktigt negativa effekter för biologisk mångfald i skogslandskapet. Att de återstående arealerna bevaras och ges ett långsiktigt skydd bedöms därför vara av avgörande betydelse."</w:t>
      </w:r>
      <w:r>
        <w:t xml:space="preserve"> (Skogsstyrelsen, 2026).</w:t>
      </w:r>
    </w:p>
    <w:p>
      <w:pPr>
        <w:pStyle w:val="Caption"/>
      </w:pPr>
      <w:r>
        <w:drawing>
          <wp:inline xmlns:a="http://schemas.openxmlformats.org/drawingml/2006/main" xmlns:pic="http://schemas.openxmlformats.org/drawingml/2006/picture">
            <wp:extent cx="5486400" cy="2905862"/>
            <wp:docPr id="2" name="Picture 2"/>
            <wp:cNvGraphicFramePr>
              <a:graphicFrameLocks noChangeAspect="1"/>
            </wp:cNvGraphicFramePr>
            <a:graphic>
              <a:graphicData uri="http://schemas.openxmlformats.org/drawingml/2006/picture">
                <pic:pic>
                  <pic:nvPicPr>
                    <pic:cNvPr id="0" name="uppföljning av västlig taiga.jpeg"/>
                    <pic:cNvPicPr/>
                  </pic:nvPicPr>
                  <pic:blipFill>
                    <a:blip r:embed="rId17"/>
                    <a:stretch>
                      <a:fillRect/>
                    </a:stretch>
                  </pic:blipFill>
                  <pic:spPr>
                    <a:xfrm>
                      <a:off x="0" y="0"/>
                      <a:ext cx="5486400" cy="2905862"/>
                    </a:xfrm>
                    <a:prstGeom prst="rect"/>
                  </pic:spPr>
                </pic:pic>
              </a:graphicData>
            </a:graphic>
          </wp:inline>
        </w:drawing>
      </w:r>
    </w:p>
    <w:p>
      <w:pPr>
        <w:pStyle w:val="Caption"/>
      </w:pPr>
      <w:r>
        <w:t>EU:s uppföljning av tillståndet för naturtypen Västlig taiga 9010 i Skandinavien 2013 - 2018. Av kartan framgår det att i den boreala regionen är tillståndet så dåligt (röd färg) att habitatet löper allvarlig risk att försvinna regionalt. Källa: European Environment Agency. https:// eunis.eea.europoa.eu/habitats/10176.</w:t>
      </w:r>
    </w:p>
    <w:p>
      <w:r>
        <w:t>Trots det allvarliga läget har statusen för Västlig taiga ändrats till otillräcklig i stället för dålig i den senaste Artikel 17 rapporteringen 2025. Av Naturvårdsverkets rapport framgår det dock att de ändrade statusbedömningarna jämfört med rapporteringen 2019 inte beror på faktiska miljöförändringar. Ändringarna är av teknisk karaktär och främst en följd av resultaten från genomförda regeringsuppdrag och beslut inför rapporteringen 2025. Det är alltså politisk styrning i stället för faktiska förhållanden i naturen som ändrat på naturtypernas status i rapporteringen, vilket rimmar dåligt med såväl art- och habitatdirektivets syften och mål som med naturrestaureringsförordningen. I praktiken har dock Sveriges nya sätt att rapportera bevarandestatus till EU inte någon betydelse eftersom Naturvårdsverkets rapportering 2025 visar att Västlig taiga inte har gynnsam bevarandestatus.</w:t>
      </w:r>
    </w:p>
    <w:p>
      <w:pPr>
        <w:pStyle w:val="Heading2"/>
      </w:pPr>
      <w:r>
        <w:t>EU:s naturrestaureringsförordning</w:t>
      </w:r>
    </w:p>
    <w:p>
      <w:r>
        <w:t>Enligt EU:s naturrestaureringsförordning (EU 2024/1991) ska minst 20 % av landområden och minst 20 % av havsarealen vara restaurerad senast 2030, samt alla ekosystem som är i behov av restaurering senast 2050. Det framgår också av förordningen att det är viktigt att livsmiljötyperna inte försämras innan eller efter att restaureringar genomförts, se exempelvis punkt 37 förordningen.</w:t>
      </w:r>
    </w:p>
    <w:p>
      <w:r>
        <w:t>”</w:t>
      </w:r>
      <w:r>
        <w:rPr>
          <w:i/>
        </w:rPr>
        <w:t>Det är viktigt att medlemsstaterna vidtar åtgärder som syftar till att säkerställa att tillståndet för områden som täcks av livsmiljötyper som omfattas av denna förordning och som omfattas av restaureringsåtgärder uppvisar en kontinuerlig förbättring till dess att de uppnår ett gott tillstånd, och att medlemsstaterna vidtar åtgärder som syftar till att säkerställa att dessa livsmiljötyper, när de har uppnått ett gott tillstånd, inte försämras avsevärt, så att det långsiktiga bibehållandet eller uppnåendet av gott tillstånd inte äventyras. (..) Det är också viktigt att medlemsstaterna anstränger sig för att förhindra avsevärd försämring av områden som täcks av sådana livsmiljötyper som antingen redan är i gott skick eller som inte är i gott skick men ännu inte omfattas av restaureringsåtgärder.”</w:t>
      </w:r>
    </w:p>
    <w:p>
      <w:r>
        <w:rPr>
          <w:b/>
          <w:i/>
        </w:rPr>
        <w:t>Artikel 4(12):</w:t>
      </w:r>
    </w:p>
    <w:p>
      <w:r>
        <w:rPr>
          <w:i/>
        </w:rPr>
        <w:t>Utan att det påverkar tillämpningen av direktiv 92/43/EEG ska medlemsstaterna, senast den dag då deras nationella restaureringsplaner offentliggörs i enlighet med artikel 17.6 i denna förordning, eftersträva att genomföra de åtgärder som krävs för att förhindra avsevärd försämring av områden där de livsmiljötyper som förtecknas i bilaga I till denna förordning förekommer och som är i gott tillstånd eller som krävs för att uppnå de restaureringsmål som anges i punkt 17 i den här artikeln.</w:t>
      </w:r>
    </w:p>
    <w:p>
      <w:r>
        <w:rPr>
          <w:b/>
          <w:i/>
        </w:rPr>
        <w:t>Artikel 4 (17).   Medlemsstaterna ska säkerställa</w:t>
      </w:r>
    </w:p>
    <w:p>
      <w:r>
        <w:rPr>
          <w:i/>
        </w:rPr>
        <w:t>a) en ökning av arealen i gott tillstånd för de livsmiljötyper som förtecknas i bilaga I till dess att minst 90 % är i gott tillstånd och till dess att den gynnsamma referensarealen för varje livsmiljötyp i varje biogeografisk region inom den berörda medlemsstaten har uppnåtts.</w:t>
      </w:r>
    </w:p>
    <w:p>
      <w:r>
        <w:t>Referenser</w:t>
      </w:r>
    </w:p>
    <w:p>
      <w:r>
        <w:t xml:space="preserve">EEA European Environment Agency, 2022. </w:t>
      </w:r>
      <w:r>
        <w:rPr>
          <w:i/>
        </w:rPr>
        <w:t xml:space="preserve">Western taiga – Conservation status 2013-2018. </w:t>
      </w:r>
      <w:r>
        <w:t>https:// eunis.eea.europoa.eu/habitats/10176.</w:t>
      </w:r>
    </w:p>
    <w:p>
      <w:r>
        <w:t>EU-domstolens dom av den 2 juli 2020 i målet C 477/19 (Europeisk hamster) p. 23.</w:t>
      </w:r>
    </w:p>
    <w:p>
      <w:r>
        <w:t>EU-domstolens dom av den 4 mars 2021 i de förenade målen C 473-19 och C 474-19 (Skydda skogen) p. 70 och 76.</w:t>
      </w:r>
    </w:p>
    <w:p>
      <w:r>
        <w:t>Europaparlamentets och rådets direktiv 2009/147/EG av den 30 november 2009 om bevarande av vilda fåglar.</w:t>
      </w:r>
    </w:p>
    <w:p>
      <w:r>
        <w:t>EUROPAPARLAMENTETS OCH RÅDETS FÖRORDNING (EU) 2024/1991 av den 24 juni 2024 om restaurering av natur och om ändring av förordning (EU) 2022/869.</w:t>
      </w:r>
    </w:p>
    <w:p>
      <w:r>
        <w:t>Rådets direktiv 92/43/EEG av den 21 mj 1992 om bevarande av livsmiljöer samt vilda djur och växter.</w:t>
      </w:r>
    </w:p>
    <w:p>
      <w:r>
        <w:t xml:space="preserve">Skogsstyrelsen, 2026. </w:t>
      </w:r>
      <w:r>
        <w:rPr>
          <w:i/>
        </w:rPr>
        <w:t>Biologisk mångfald i skogen.</w:t>
      </w:r>
      <w:r>
        <w:t xml:space="preserve"> Rapport 2026/07.</w:t>
      </w:r>
    </w:p>
    <w:p>
      <w:r>
        <w:t xml:space="preserve">SLU Artdatabanken, 2019. </w:t>
      </w:r>
      <w:r>
        <w:rPr>
          <w:i/>
        </w:rPr>
        <w:t>Sveriges arter och naturtyper i EU:s art- och habitatdirektiv.</w:t>
      </w:r>
      <w:r>
        <w:t xml:space="preserve"> Resultat från rapportering 2019 till EU av bevarandestatus 2013-2018.</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2026-10-16</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 Id="rId17" Type="http://schemas.openxmlformats.org/officeDocument/2006/relationships/image" Target="media/image2.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