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22110-2024 i Åsele kommun</w:t>
      </w:r>
    </w:p>
    <w:p>
      <w:r>
        <w:t>Detta dokument behandlar höga naturvärden i avverkningsanmälan A 22110-2024 i Åsele kommun. Denna avverkningsanmälan inkom 2024-05-31 00:00:00 och omfattar 11,6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 I BILAGA 1 finns artfakta om rödlistade arter.</w:t>
      </w:r>
    </w:p>
    <w:p>
      <w:pPr>
        <w:pStyle w:val="Heading1"/>
      </w:pPr>
      <w:r>
        <w:t>Naturvårdsarter</w:t>
      </w:r>
    </w:p>
    <w:p>
      <w:r>
        <w:t>I avverkningsanmälan har följande 4 naturvårdsarter hittats: gammelgransskål (NT), granticka (NT), lunglav (NT) och trådticka (S). Av dessa är 3 rödlistade. För rödlistade arter har rödlistekategorin angivits inom parentes.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521619"/>
            <wp:docPr id="1" name="Picture 1"/>
            <wp:cNvGraphicFramePr>
              <a:graphicFrameLocks noChangeAspect="1"/>
            </wp:cNvGraphicFramePr>
            <a:graphic>
              <a:graphicData uri="http://schemas.openxmlformats.org/drawingml/2006/picture">
                <pic:pic>
                  <pic:nvPicPr>
                    <pic:cNvPr id="0" name="A 22110-2024 karta.png"/>
                    <pic:cNvPicPr/>
                  </pic:nvPicPr>
                  <pic:blipFill>
                    <a:blip r:embed="rId16"/>
                    <a:stretch>
                      <a:fillRect/>
                    </a:stretch>
                  </pic:blipFill>
                  <pic:spPr>
                    <a:xfrm>
                      <a:off x="0" y="0"/>
                      <a:ext cx="5486400" cy="4521619"/>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7092788, E 631861 i SWEREF 99 TM.</w:t>
      </w:r>
    </w:p>
    <w:p>
      <w:r>
        <w:rPr>
          <w:b/>
        </w:rPr>
        <w:t>Gammelgransskål (NT)</w:t>
      </w:r>
      <w:r>
        <w:t xml:space="preserve"> är en liten skålsvamp som växer på gamla granar med skrovlig bark. Typiska växtplatser är gransumpskog i myrkanter, bäckdråg, bäckraviner och skuggiga bergssluttningar, men också skog på torrare mark kan hysa arten om beståndet har stark naturskogskaraktär. Bestånd med arten bör behandlas som nyckelbiotoper och sparas vid en slutavverkning. Även gallring bör undvikas. Gammelgransskål är typisk art för </w:t>
      </w:r>
      <w:r>
        <w:rPr>
          <w:i/>
        </w:rPr>
        <w:t>9010 Taiga</w:t>
      </w:r>
      <w:r>
        <w:t xml:space="preserve"> (SLU Artdatabanken, 2024; Nitare &amp; Skogsstyrelsen, 2019).</w:t>
      </w:r>
    </w:p>
    <w:p>
      <w:r>
        <w:rPr>
          <w:b/>
        </w:rPr>
        <w:t>Granticka</w:t>
      </w:r>
      <w:r>
        <w:t xml:space="preserve"> förekommer främst i äldre skogar med naturskogskaraktär, liksom i dimensionsavverkade och plockhuggna skogar. I äldre grannaturskog i norra Sverige är den alltjämt en förhållandevis vanlig karaktärsart, medan den längre söderut blir allt mer sällsynt. I Götaland och delar av Svealand är den en god signalart för skyddsvärda granskogsmiljöer. Arten bedöms ha minskat starkt under senare år på grund av skogsavverkningar, då den framför allt växer i äldre granskog med långvarig grankontinuitet. I urskogsliknande bestånd i norra Sverige kan ibland påträffas den mycket sällsynta tickan grantickeporing (VU), som lever på döda grantickor. Det som tidigare inbegripit grantickan har visat sig röra sig om två arter; tajgagranticka </w:t>
      </w:r>
      <w:r>
        <w:rPr>
          <w:i/>
        </w:rPr>
        <w:t>Porodaedalea abietis</w:t>
      </w:r>
      <w:r>
        <w:t xml:space="preserve"> (LC) och </w:t>
      </w:r>
      <w:r>
        <w:rPr>
          <w:i/>
        </w:rPr>
        <w:t>Porodaedalea chrysoloma</w:t>
      </w:r>
      <w:r>
        <w:t xml:space="preserve"> (DD). Den nordligare arten, tajgagranticka, bildar större fruktkroppar och har sin främsta förekomst i norra Sverige, medan den mer tunnköttiga arten, </w:t>
      </w:r>
      <w:r>
        <w:rPr>
          <w:i/>
        </w:rPr>
        <w:t>P. chrysoloma</w:t>
      </w:r>
      <w:r>
        <w:t>, förekommer i sydöstra Sverige och på Gotland (SLU Artdatabanken, 2026; Nitare &amp; Skogsstyrelsen, 2019).</w:t>
      </w:r>
    </w:p>
    <w:p>
      <w:r>
        <w:rPr>
          <w:b/>
        </w:rPr>
        <w:t>Lunglav (NT)</w:t>
      </w:r>
      <w:r>
        <w:t xml:space="preserve"> är en av vårt lands främsta signalarter som överallt indikerar gamla lövträd, skogsbestånd med höga naturvärden och ekosystem med långskoglig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På lunglav kan de sällsynta lavparasiterna lunglavshårprick (CR), </w:t>
      </w:r>
      <w:r>
        <w:rPr>
          <w:i/>
        </w:rPr>
        <w:t>Abrothallus diederichii</w:t>
      </w:r>
      <w:r>
        <w:t xml:space="preserve"> (VU), </w:t>
      </w:r>
      <w:r>
        <w:rPr>
          <w:i/>
        </w:rPr>
        <w:t>Abrothallus lobariae</w:t>
      </w:r>
      <w:r>
        <w:t xml:space="preserve"> (VU), </w:t>
      </w:r>
      <w:r>
        <w:rPr>
          <w:i/>
        </w:rPr>
        <w:t>Calycina lobariae</w:t>
      </w:r>
      <w:r>
        <w:t xml:space="preserve"> (VU), lunglavsknapp (VU) och skrovelmössing (VU) påträffas. Lunglav är typisk art för </w:t>
      </w:r>
      <w:r>
        <w:rPr>
          <w:i/>
        </w:rPr>
        <w:t>9010 Taiga, 9020 Nordlig ädellövskog, 9110 Näringsfattig bokskog, 9130 Näringsrik bokskog, 9160 Näringsrik ekskog, 9180 Ädellövskog i branter, 9190 Näringsfattig ekskog, 9070 Trädklädd betesmark, 9040 Fjällbjörkskog</w:t>
      </w:r>
      <w:r>
        <w:t xml:space="preserve"> och</w:t>
      </w:r>
      <w:r>
        <w:rPr>
          <w:i/>
        </w:rPr>
        <w:t xml:space="preserve"> 6530 Lövängar</w:t>
      </w:r>
      <w:r>
        <w:t xml:space="preserve"> (SLU Artdatabanken, 2026; Nitare &amp; Skogsstyrelsen, 2019).</w:t>
      </w:r>
    </w:p>
    <w:p>
      <w:r>
        <w:rPr>
          <w:b/>
        </w:rPr>
        <w:t xml:space="preserve">Trådticka </w:t>
      </w:r>
      <w:r>
        <w:t xml:space="preserve">är knuten till grova granar i rikare ofta fuktiga miljöer. Den återfinns på både levande och döda träd samt stubbar och nyligen fallna träd. Karaktärsart för äldre fuktiga granskogsbiotoper, och i stor mängd är den en bra signalart för miljöer med andra rödlistade arter. Trådticka är typisk art för </w:t>
      </w:r>
      <w:r>
        <w:rPr>
          <w:i/>
        </w:rPr>
        <w:t xml:space="preserve">9010 Taiga </w:t>
      </w:r>
      <w:r>
        <w:t xml:space="preserve">och </w:t>
      </w:r>
      <w:r>
        <w:rPr>
          <w:i/>
        </w:rPr>
        <w:t xml:space="preserve">9050 Näringsrik granskog </w:t>
      </w:r>
      <w:r>
        <w:t>(SLU Artdatabanken, 2025).</w:t>
      </w:r>
    </w:p>
    <w:p>
      <w:r>
        <w:br w:type="page"/>
      </w:r>
    </w:p>
    <w:p>
      <w:pPr>
        <w:pStyle w:val="Title"/>
      </w:pPr>
      <w:r>
        <w:t>BILAGA 1 – Rödlistade arter</w:t>
      </w:r>
    </w:p>
    <w:p>
      <w:pPr>
        <w:pStyle w:val="Heading1"/>
      </w:pPr>
      <w:r>
        <w:t>Lunglav – ekologi samt krav på livsmiljön</w:t>
      </w:r>
    </w:p>
    <w:p>
      <w:r>
        <w:t xml:space="preserve">Lunglav (NT)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däribland de sällsynta lavparasiterna lunglavshårprick (CR), </w:t>
      </w:r>
      <w:r>
        <w:rPr>
          <w:i/>
        </w:rPr>
        <w:t>Abrothallus diederichii</w:t>
      </w:r>
      <w:r>
        <w:t xml:space="preserve"> (VU), </w:t>
      </w:r>
      <w:r>
        <w:rPr>
          <w:i/>
        </w:rPr>
        <w:t>Abrothallus lobariae</w:t>
      </w:r>
      <w:r>
        <w:t xml:space="preserve"> (VU), </w:t>
      </w:r>
      <w:r>
        <w:rPr>
          <w:i/>
        </w:rPr>
        <w:t>Calycina lobariae</w:t>
      </w:r>
      <w:r>
        <w:t xml:space="preserve"> (VU), lunglavsknapp (VU) och skrovelmössing (VU), som växer på lunglav. Rikliga förekomster med lunglav bör skyddas med biotopskydd, frivilliga avsättningar eller reservat (SLU Artdatabanken, 2026; Nitare &amp; Skogsstyrelsen, 2019).</w:t>
      </w:r>
    </w:p>
    <w:p>
      <w:r>
        <w:t xml:space="preserve">Lunglav är typisk art för </w:t>
      </w:r>
      <w:r>
        <w:rPr>
          <w:i/>
        </w:rPr>
        <w:t>9010 Taiga, 9020 Nordlig ädellövskog, 9110 Näringsfattig bokskog, 9130 Näringsrik bokskog, 9160 Näringsrik ekskog, 9180 Ädellövskog i branter, 9190 Näringsfattig ekskog, 9070 Trädklädd betesmark, 9040 Fjällbjörkskog</w:t>
      </w:r>
      <w:r>
        <w:t xml:space="preserve"> och</w:t>
      </w:r>
      <w:r>
        <w:rPr>
          <w:i/>
        </w:rPr>
        <w:t xml:space="preserve"> 6530 Lövängar</w:t>
      </w:r>
      <w:r>
        <w:t xml:space="preserve"> (SLU Artdatabanken, 2026).</w:t>
      </w:r>
    </w:p>
    <w:p>
      <w:pPr>
        <w:pStyle w:val="Heading2"/>
      </w:pPr>
      <w:r>
        <w:t>Referenser – lunglav</w:t>
      </w:r>
    </w:p>
    <w:p>
      <w:r>
        <w:t xml:space="preserve">Nitare, J. och Skogsstyrelsen, 2019. </w:t>
      </w:r>
      <w:r>
        <w:rPr>
          <w:i/>
        </w:rPr>
        <w:t xml:space="preserve">Skyddsvärd skog – Naturvårdsarter och andra kriterier för naturvärdesbedömning. </w:t>
      </w:r>
      <w:r>
        <w:t>Skogsstyrelsen.</w:t>
      </w:r>
    </w:p>
    <w:p>
      <w:r>
        <w:t xml:space="preserve">SLU Artdatabanken, 2026.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2026-06-03</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