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28996-2024 i Åsele kommun</w:t>
      </w:r>
    </w:p>
    <w:p>
      <w:r>
        <w:t>Detta klagomål behandlar höga naturvärden i avverkningsanmälan A 28996-2024 i Åsele kommun som inkom 2024-07-08 och omfattar 15,6 ha.</w:t>
      </w:r>
    </w:p>
    <w:p>
      <w:pPr>
        <w:pStyle w:val="Caption"/>
      </w:pPr>
      <w:r>
        <w:drawing>
          <wp:inline xmlns:a="http://schemas.openxmlformats.org/drawingml/2006/main" xmlns:pic="http://schemas.openxmlformats.org/drawingml/2006/picture">
            <wp:extent cx="4859055" cy="5724000"/>
            <wp:docPr id="1" name="Picture 1"/>
            <wp:cNvGraphicFramePr>
              <a:graphicFrameLocks noChangeAspect="1"/>
            </wp:cNvGraphicFramePr>
            <a:graphic>
              <a:graphicData uri="http://schemas.openxmlformats.org/drawingml/2006/picture">
                <pic:pic>
                  <pic:nvPicPr>
                    <pic:cNvPr id="0" name="A 28996-2024 karta.png"/>
                    <pic:cNvPicPr/>
                  </pic:nvPicPr>
                  <pic:blipFill>
                    <a:blip r:embed="rId16"/>
                    <a:stretch>
                      <a:fillRect/>
                    </a:stretch>
                  </pic:blipFill>
                  <pic:spPr>
                    <a:xfrm>
                      <a:off x="0" y="0"/>
                      <a:ext cx="485905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7122492, E 656732 i SWEREF 99 TM.</w:t>
      </w:r>
    </w:p>
    <w:p>
      <w:r>
        <w:t>I och inom 24 meter från avverkningsanmälan finns fynd av 37 naturvårdsarter, varav 25 är rödlistade, 8 är fridlysta, 23 är typiska (T) och 8 är signalarter (S): garnlav (VU, T), gräddporing (VU, T), knärot (VU, T, §8), liten aspgelélav (VU, T), blanksvart spiklav (NT), blågrå svartspik (NT), dropptaggsvamp (NT, T), dvärgbägarlav (NT, T), grå blåbärsfältmätare (NT), kolflarnlav (NT, T), kortskaftad ärgspik (NT), kådvaxskinn (NT), lavskrika (NT, T, §4), liten svartspik (NT), lunglav (NT, T), motaggsvamp (NT, T), mörk kolflarnlav (NT), nordtagging (NT), skrovellav (NT, T), talltagel (NT, T), talltita (NT, §4), tretåig hackspett (NT, T, §4), vedflamlav (NT), vedskivlav (NT, T), vitgrynig nållav (NT), bårdlav (S, T), dvärgtufs (S), luddlav (S, T), mindre märgborre (S, T), nästlav (S, T), skinnlav (S, T), stuplav (S, T), vedticka (S, T), spillkråka (T, §4), tjäder (T,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2.27 ha med buffertzonerna och får av detta skäl inte avverkas.</w:t>
      </w:r>
    </w:p>
    <w:p>
      <w:pPr>
        <w:pStyle w:val="Caption"/>
      </w:pPr>
      <w:r>
        <w:drawing>
          <wp:inline xmlns:a="http://schemas.openxmlformats.org/drawingml/2006/main" xmlns:pic="http://schemas.openxmlformats.org/drawingml/2006/picture">
            <wp:extent cx="5486400" cy="5258271"/>
            <wp:docPr id="2" name="Picture 2"/>
            <wp:cNvGraphicFramePr>
              <a:graphicFrameLocks noChangeAspect="1"/>
            </wp:cNvGraphicFramePr>
            <a:graphic>
              <a:graphicData uri="http://schemas.openxmlformats.org/drawingml/2006/picture">
                <pic:pic>
                  <pic:nvPicPr>
                    <pic:cNvPr id="0" name="A 28996-2024 karta knärot.png"/>
                    <pic:cNvPicPr/>
                  </pic:nvPicPr>
                  <pic:blipFill>
                    <a:blip r:embed="rId17"/>
                    <a:stretch>
                      <a:fillRect/>
                    </a:stretch>
                  </pic:blipFill>
                  <pic:spPr>
                    <a:xfrm>
                      <a:off x="0" y="0"/>
                      <a:ext cx="5486400" cy="52582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7122492, E 656732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