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48369-2023 i Åsele kommun</w:t>
      </w:r>
    </w:p>
    <w:p>
      <w:r>
        <w:t>Detta klagomål behandlar höga naturvärden i avverkningsanmälan A 48369-2023 i Åsele kommun som inkom 2023-10-02 och omfattar 2,4 ha.</w:t>
      </w:r>
    </w:p>
    <w:p>
      <w:pPr>
        <w:pStyle w:val="Caption"/>
      </w:pPr>
      <w:r>
        <w:drawing>
          <wp:inline xmlns:a="http://schemas.openxmlformats.org/drawingml/2006/main" xmlns:pic="http://schemas.openxmlformats.org/drawingml/2006/picture">
            <wp:extent cx="5486400" cy="3868760"/>
            <wp:docPr id="1" name="Picture 1"/>
            <wp:cNvGraphicFramePr>
              <a:graphicFrameLocks noChangeAspect="1"/>
            </wp:cNvGraphicFramePr>
            <a:graphic>
              <a:graphicData uri="http://schemas.openxmlformats.org/drawingml/2006/picture">
                <pic:pic>
                  <pic:nvPicPr>
                    <pic:cNvPr id="0" name="A 48369-2023 karta.png"/>
                    <pic:cNvPicPr/>
                  </pic:nvPicPr>
                  <pic:blipFill>
                    <a:blip r:embed="rId16"/>
                    <a:stretch>
                      <a:fillRect/>
                    </a:stretch>
                  </pic:blipFill>
                  <pic:spPr>
                    <a:xfrm>
                      <a:off x="0" y="0"/>
                      <a:ext cx="5486400" cy="386876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7087439, E 634799 i SWEREF 99 TM.</w:t>
      </w:r>
    </w:p>
    <w:p>
      <w:r>
        <w:t>I och inom 25 meter från avverkningsanmälan finns fynd av 18 naturvårdsarter, varav 12 är rödlistade, 5 är fridlysta, 12 är typiska (T) och 3 är signalarter (S): garnlav (VU, T), brunpudrad nållav (NT, T), doftskinn (NT, T), gammelgransskål (NT, T), kötticka (NT), orange taggsvamp (NT, T), stjärntagging (NT, T), talltita (NT, §4), tretåig hackspett (NT, T, §4), ullticka (NT, T), vitgrynig nållav (NT), äggvaxskivling (NT), stuplav (S, T), trådticka (S, T), vedticka (S, T), spillkråka (T,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