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43276-2025 i Åsele kommun</w:t>
      </w:r>
    </w:p>
    <w:p>
      <w:r>
        <w:t>Detta dokument behandlar höga naturvärden i avverkningsanmälan A 43276-2025 i Åsele kommun. Denna avverkningsanmälan inkom 2025-09-10 00:00:00 och omfattar 4,9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tretåig hackspett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08969"/>
            <wp:docPr id="1" name="Picture 1"/>
            <wp:cNvGraphicFramePr>
              <a:graphicFrameLocks noChangeAspect="1"/>
            </wp:cNvGraphicFramePr>
            <a:graphic>
              <a:graphicData uri="http://schemas.openxmlformats.org/drawingml/2006/picture">
                <pic:pic>
                  <pic:nvPicPr>
                    <pic:cNvPr id="0" name="A 43276-2025 karta.png"/>
                    <pic:cNvPicPr/>
                  </pic:nvPicPr>
                  <pic:blipFill>
                    <a:blip r:embed="rId16"/>
                    <a:stretch>
                      <a:fillRect/>
                    </a:stretch>
                  </pic:blipFill>
                  <pic:spPr>
                    <a:xfrm>
                      <a:off x="0" y="0"/>
                      <a:ext cx="5486400" cy="370896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7119043, E 617173 i SWEREF 99 TM.</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t>I BILAGA 1 finns mer detaljerad information om ekologi samt krav på livsmiljö hos fridlysta arter.</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