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50909-2019 i Åsele kommun</w:t>
      </w:r>
    </w:p>
    <w:p>
      <w:r>
        <w:t>Detta dokument behandlar höga naturvärden i avverkningsanmälan A 50909-2019 i Åsele kommun. Denna avverkningsanmälan inkom 2019-09-30 och omfattar 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blanksvart spiklav (NT), blågrå svartspik (NT)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8518"/>
            <wp:docPr id="1" name="Picture 1"/>
            <wp:cNvGraphicFramePr>
              <a:graphicFrameLocks noChangeAspect="1"/>
            </wp:cNvGraphicFramePr>
            <a:graphic>
              <a:graphicData uri="http://schemas.openxmlformats.org/drawingml/2006/picture">
                <pic:pic>
                  <pic:nvPicPr>
                    <pic:cNvPr id="0" name="A 50909-2019 karta.png"/>
                    <pic:cNvPicPr/>
                  </pic:nvPicPr>
                  <pic:blipFill>
                    <a:blip r:embed="rId16"/>
                    <a:stretch>
                      <a:fillRect/>
                    </a:stretch>
                  </pic:blipFill>
                  <pic:spPr>
                    <a:xfrm>
                      <a:off x="0" y="0"/>
                      <a:ext cx="5486400" cy="4168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7131118, E 649456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