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50420-2024 i Åsele kommun</w:t>
      </w:r>
    </w:p>
    <w:p>
      <w:r>
        <w:t>Denna tillsynsbegäran behandlar höga naturvärden i avverkningsanmälan A 50420-2024 i Åsele kommun som inkom 2024-11-05 och omfattar 2,5 ha.</w:t>
      </w:r>
    </w:p>
    <w:p>
      <w:pPr>
        <w:pStyle w:val="Caption"/>
      </w:pPr>
      <w:r>
        <w:drawing>
          <wp:inline xmlns:a="http://schemas.openxmlformats.org/drawingml/2006/main" xmlns:pic="http://schemas.openxmlformats.org/drawingml/2006/picture">
            <wp:extent cx="5486400" cy="5532025"/>
            <wp:docPr id="1" name="Picture 1"/>
            <wp:cNvGraphicFramePr>
              <a:graphicFrameLocks noChangeAspect="1"/>
            </wp:cNvGraphicFramePr>
            <a:graphic>
              <a:graphicData uri="http://schemas.openxmlformats.org/drawingml/2006/picture">
                <pic:pic>
                  <pic:nvPicPr>
                    <pic:cNvPr id="0" name="A 50420-2024 karta.png"/>
                    <pic:cNvPicPr/>
                  </pic:nvPicPr>
                  <pic:blipFill>
                    <a:blip r:embed="rId16"/>
                    <a:stretch>
                      <a:fillRect/>
                    </a:stretch>
                  </pic:blipFill>
                  <pic:spPr>
                    <a:xfrm>
                      <a:off x="0" y="0"/>
                      <a:ext cx="5486400" cy="553202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7149683, E 613117 i SWEREF 99 TM.</w:t>
      </w:r>
    </w:p>
    <w:p>
      <w:r>
        <w:t>I och inom 22 meter från avverkningsanmälan finns fynd av 2 naturvårdsarter, varav 1 är rödlistad, 1 är typisk (T) och 1 är signalart (S): sprickporing (VU) och skör kvastmossa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