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30047-2025 i Åsele kommun</w:t>
      </w:r>
    </w:p>
    <w:p>
      <w:r>
        <w:t>Detta klagomål behandlar höga naturvärden i avverkningsanmälan A 30047-2025 i Åsele kommun som inkom 2025-06-18 och omfattar 34,5 ha.</w:t>
      </w:r>
    </w:p>
    <w:p>
      <w:pPr>
        <w:pStyle w:val="Caption"/>
      </w:pPr>
      <w:r>
        <w:drawing>
          <wp:inline xmlns:a="http://schemas.openxmlformats.org/drawingml/2006/main" xmlns:pic="http://schemas.openxmlformats.org/drawingml/2006/picture">
            <wp:extent cx="5486400" cy="5163880"/>
            <wp:docPr id="1" name="Picture 1"/>
            <wp:cNvGraphicFramePr>
              <a:graphicFrameLocks noChangeAspect="1"/>
            </wp:cNvGraphicFramePr>
            <a:graphic>
              <a:graphicData uri="http://schemas.openxmlformats.org/drawingml/2006/picture">
                <pic:pic>
                  <pic:nvPicPr>
                    <pic:cNvPr id="0" name="A 30047-2025 karta.png"/>
                    <pic:cNvPicPr/>
                  </pic:nvPicPr>
                  <pic:blipFill>
                    <a:blip r:embed="rId16"/>
                    <a:stretch>
                      <a:fillRect/>
                    </a:stretch>
                  </pic:blipFill>
                  <pic:spPr>
                    <a:xfrm>
                      <a:off x="0" y="0"/>
                      <a:ext cx="5486400" cy="5163880"/>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har ett svart streck som visar fyndplatsens exakta position. Kartans mittpunktskoordinat är N 7087397, E 635081 i SWEREF 99 TM.</w:t>
      </w:r>
    </w:p>
    <w:p>
      <w:r>
        <w:t>I och inom 21 meter från avverkningsanmälan finns fynd av 40 naturvårdsarter, varav 23 är rödlistade, 8 är fridlysta, 32 är typiska (T) och 12 är signalarter (S): garnlav (VU, T), gränsticka (VU, T), brunpudrad nållav (NT, T), doftskinn (NT, T), gammelgransskål (NT, T), kötticka (NT), lavskrika (NT, T, §4), lunglav (NT, T), orange taggsvamp (NT, T), rosenticka (NT, T), rynkskinn (NT, T), skrovellav (NT, T), stjärntagging (NT, T), talltita (NT, §4), tretåig hackspett (NT, T, §4), ullticka (NT, T), veckticka (NT, T), vedflikmossa (NT), vedskivlav (NT, T), vedtrappmossa (NT, T), violettgrå tagellav (NT, T), vitgrynig nållav (NT), äggvaxskivling (NT), bårdlav (S, T), gulnål (S, T), luddlav (S, T), mörk husmossa (S, T), norrlandslav (S, T), nästlav (S, T), skinnlav (S, T), skogshakmossa (S, T), stor aspticka (S, T), stuplav (S, T), trådticka (S, T), vedticka (S, T), spillkråka (T, §4), tjäder (T, §4), kungsfågel (§4), orre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Kötticka (NT)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Veckticka (NT)</w:t>
      </w:r>
      <w:r>
        <w:t xml:space="preserve"> förekommer främst i äldre naturskogsartad löv- och blandskog i sena åldersstadier med gamla, döende och döda aspar. Avverkning eller gallring av aspbestånd är ett hot och aspskogar och asprika blandskogar måste bevaras i högre utsträckning än hittills. Sumpskog med asp och sälg har ett särskilt högt naturvärde och bör skyddas helt från skogsbruk. Veckticka är typisk art för </w:t>
      </w:r>
      <w:r>
        <w:rPr>
          <w:i/>
        </w:rPr>
        <w:t xml:space="preserve">9010 Taiga </w:t>
      </w:r>
      <w:r>
        <w:t xml:space="preserve">och </w:t>
      </w:r>
      <w:r>
        <w:rPr>
          <w:i/>
        </w:rPr>
        <w:t>9030 Landhöjningsskog</w:t>
      </w:r>
      <w:r>
        <w:t xml:space="preserve"> (SLU Artdatabanken, 2024; Nitare &amp; Skogsstyrelsen, 2019).</w:t>
      </w:r>
    </w:p>
    <w:p>
      <w:r>
        <w:rPr>
          <w:b/>
        </w:rPr>
        <w:t xml:space="preserve">Vedflikmossa (NT) </w:t>
      </w:r>
      <w:r>
        <w:t>är strikt knuten till död ved i främst Norrlands barrskogar. Fanns tidigare även i södra Sveriges skogar men är borta där. Eftersom arten huvudsakligen är hänvisad till skog där träd fått växa kontinuerligt under flera hundra år (kontinuitetsskog), inte klarar av en kalhyggesfas och har svårt att sprida sig över stora avstånd, bedöms populationen fortsätta att minska på grund av dagens avverkningstakt av kontinuitetsskog. För att hejda populationsminskningen av denna art måste kalavverkning i de barrskogar som tidigare aldrig kalhuggits (kontinuitetsskog) upphöra eller begränsas kraftigt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Skogshakmossa</w:t>
      </w:r>
      <w:r>
        <w:t xml:space="preserve"> indikerar lokaler som ofta har en artrik mossflora som kräver jämn och hög markfuktighet, till exempel olika sumpskogar med höga naturvärden. Högst signalvärde har arten i södra och mellersta Sverige. Skogshakmossa är typisk art för </w:t>
      </w:r>
      <w:r>
        <w:rPr>
          <w:i/>
        </w:rPr>
        <w:t xml:space="preserve">9010 Taiga, 9050 Näringsrik granskog, 9080 Lövsumpskog </w:t>
      </w:r>
      <w:r>
        <w:t xml:space="preserve">och </w:t>
      </w:r>
      <w:r>
        <w:rPr>
          <w:i/>
        </w:rPr>
        <w:t xml:space="preserve">9750 Svämlövskog </w:t>
      </w:r>
      <w:r>
        <w:t>(Nitare &amp; Skogsstyrelsen, 2019; SLU Artdatabanken, 2025).</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35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40 naturvårdsarter varav 23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