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50419-2024 i Åsele kommun</w:t>
      </w:r>
    </w:p>
    <w:p>
      <w:r>
        <w:t>Denna tillsynsbegäran behandlar höga naturvärden i avverkningsanmälan A 50419-2024 i Åsele kommun som inkom 2024-11-05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6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6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7149712, E 612963 i SWEREF 99 TM.</w:t>
      </w:r>
    </w:p>
    <w:p>
      <w:r>
        <w:t>I avverkningsanmälan finns fynd av 3 naturvårdsarter, varav 3 är rödlistade och 2 är typiska (T): sprickporing (VU), doftskinn (NT, T) och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Sprickporing (VU)</w:t>
      </w:r>
      <w:r>
        <w:t>, rödlistad som sårbar, är en sällsynt art som växer på senvuxen gran i lågproduktiva miljöer, ett substrat som nybildas i mycket liten skala i modern produktionsskog. Arten bedöms ha minskat kraftigt, med mer än 30 % över de senaste 20 åren, huvudsakligen på grund av slutavverkningar. I bestånd där arten förekommer måste skogsbruk undvikas. Fler av artens lokaler bör skyddas (SLU Artdatabanken, 2024).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