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41403-2026 i Åsele kommun</w:t>
      </w:r>
    </w:p>
    <w:p>
      <w:r>
        <w:t>Detta klagomål behandlar höga naturvärden i avverkningsanmälan A 41403-2026 i Åsele kommun som inkom 2026-10-06 och omfattar 11,6 ha.</w:t>
      </w:r>
    </w:p>
    <w:p>
      <w:pPr>
        <w:pStyle w:val="Caption"/>
      </w:pPr>
      <w:r>
        <w:drawing>
          <wp:inline xmlns:a="http://schemas.openxmlformats.org/drawingml/2006/main" xmlns:pic="http://schemas.openxmlformats.org/drawingml/2006/picture">
            <wp:extent cx="5486400" cy="4136482"/>
            <wp:docPr id="1" name="Picture 1"/>
            <wp:cNvGraphicFramePr>
              <a:graphicFrameLocks noChangeAspect="1"/>
            </wp:cNvGraphicFramePr>
            <a:graphic>
              <a:graphicData uri="http://schemas.openxmlformats.org/drawingml/2006/picture">
                <pic:pic>
                  <pic:nvPicPr>
                    <pic:cNvPr id="0" name="A 41403-2026 karta.png"/>
                    <pic:cNvPicPr/>
                  </pic:nvPicPr>
                  <pic:blipFill>
                    <a:blip r:embed="rId16"/>
                    <a:stretch>
                      <a:fillRect/>
                    </a:stretch>
                  </pic:blipFill>
                  <pic:spPr>
                    <a:xfrm>
                      <a:off x="0" y="0"/>
                      <a:ext cx="5486400" cy="4136482"/>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7145609, E 602466 i SWEREF 99 TM.</w:t>
      </w:r>
    </w:p>
    <w:p>
      <w:r>
        <w:t>I avverkningsanmälan finns fynd av 4 naturvårdsarter, varav 4 är rödlistade och 3 är typiska (T): dropptaggsvamp (NT, T), kolflarnlav (NT, T), mörk kolflarnlav (NT) och vedskivlav (NT, T).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Dropptaggsvamp (NT)</w:t>
      </w:r>
      <w:r>
        <w:t xml:space="preserve"> bildar mykorrhiza med tall, främst i barrskog med trädkontinuitet, i magra, torra och ljusöppna lavtallskogar och i barrblandskogar med friskmossor och lingon i fältskiktet. Den totala populationen i landet har minskat och bedöms fortsätta minska till följd av slutavverkningar av tallskog. Det är högst oklart om arten långsiktigt kan etablera och reproducera sig i skogsbestånd som brukas med trakthyggesmetoder, markberedning, gödsling eller föryngring med förädlat plantmaterial. Uppfyller kriterierna för att bli rödlistad på grund av ny kunskap som visar att en större andel av populationen än tidigare bedömt är knuten till kontinuitetsbarrskog. Minskningstakten för den svenska populationen bedöms vara nära gränsvärdet för Sårbar (VU). Dropptaggsvamp är typisk art för </w:t>
      </w:r>
      <w:r>
        <w:rPr>
          <w:i/>
        </w:rPr>
        <w:t xml:space="preserve">9010 Taiga </w:t>
      </w:r>
      <w:r>
        <w:t>(SLU Artdatabanken, 2026).</w:t>
      </w:r>
    </w:p>
    <w:p>
      <w:r>
        <w:rPr>
          <w:b/>
        </w:rPr>
        <w:t>Kolflarnlav (NT)</w:t>
      </w:r>
      <w:r>
        <w:t xml:space="preserve"> är brandberoende och växer nästan uteslutande på kolad hård kärnved av tall. Etableringen verkar ske först 100–300 år efter brand och nytt substrat nybildas i mycket begränsad omfattning. Avverkning av tallskog av naturskogskaraktär med spår av återkommande bränder är ett hot och mängden lämplig ved att växa på för arten minskar dels på grund av naturlig nedbrytning men framförallt på grund av att det förstörs i samband med slutavverkningar, gallringar och markberedning. Såväl kolflarnlav som mörk kolflarnlav har glänsande bålfjäll och förekommer främst i tall- och blandbarrskogar av naturskogskaraktär med spår av återkommande bränder. Skogar som dessa hyser höga biologiska värden och bör skyddas. Kolflarnlav är typisk art för </w:t>
      </w:r>
      <w:r>
        <w:rPr>
          <w:i/>
        </w:rPr>
        <w:t>9010 Taiga</w:t>
      </w:r>
      <w:r>
        <w:t xml:space="preserve"> (SLU Artdatabanken, 2024).</w:t>
      </w:r>
    </w:p>
    <w:p>
      <w:r>
        <w:rPr>
          <w:b/>
        </w:rPr>
        <w:t>Mörk kolflarnlav (NT)</w:t>
      </w:r>
      <w:r>
        <w:t xml:space="preserve"> är brandberoende och växer nästan uteslutande på kolad hård kärnved av tall. Arten förekommer främst i glesa, öppna tall- och blandbarrskogar av naturskogskaraktär och etableringen verkar ske sent efter brand, kanske först efter 100–300 år. Mörk kolflarnlav indikerar skog med höga naturvärden och vanligast är att den påträffas på rester av nedbrunna torrakor och högstubbar och lågstubbar som är så grova att hela innandömet är urbränt. Tall- och blandbarrskogar av naturskogskaraktär med spår av återkommande bränder hyser höga biologiska värden och bör skyddas (SLU Artdatabanken, 2024).</w:t>
      </w:r>
    </w:p>
    <w:p>
      <w:r>
        <w:rPr>
          <w:b/>
        </w:rPr>
        <w:t>Vedskivlav (NT)</w:t>
      </w:r>
      <w:r>
        <w:t xml:space="preserve"> växer på gammal, torr, exponerad, hård kärnved av framförallt tall i naturskogsartade bestånd. Avverkning av tallskog av naturskogskaraktär med spår av återkommande bränder är ett hot. Mängden lämplig ved att växa på för vedskivlav minskar, dels på grund av naturlig nedbrytning men framförallt på grund av att de förstörs i samband med slutavverkningar, gallringar och markberedning. Tall- och blandbarrskogar av naturskogskaraktär med spår av återkommande bränder bör skyddas. Vedskivlav är typisk art för </w:t>
      </w:r>
      <w:r>
        <w:rPr>
          <w:i/>
        </w:rPr>
        <w:t>9010 Taiga</w:t>
      </w:r>
      <w:r>
        <w:t xml:space="preserve"> (SLU Artdatabanken, 2024).</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4 naturvårdsarter varav 4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2026-10-17</w:t>
      <w:br/>
      <w:br/>
    </w:r>
    <w:r>
      <w:t>Till: Sveaskog</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