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44641-2026 i Åsele kommun</w:t>
      </w:r>
    </w:p>
    <w:p>
      <w:r>
        <w:t>Detta klagomål behandlar höga naturvärden i avverkningsanmälan A 44641-2026 i Åsele kommun som inkom 2026-10-27 och omfattar 19,9 ha.</w:t>
      </w:r>
    </w:p>
    <w:p>
      <w:pPr>
        <w:pStyle w:val="Caption"/>
      </w:pPr>
      <w:r>
        <w:drawing>
          <wp:inline xmlns:a="http://schemas.openxmlformats.org/drawingml/2006/main" xmlns:pic="http://schemas.openxmlformats.org/drawingml/2006/picture">
            <wp:extent cx="5486400" cy="4608202"/>
            <wp:docPr id="1" name="Picture 1"/>
            <wp:cNvGraphicFramePr>
              <a:graphicFrameLocks noChangeAspect="1"/>
            </wp:cNvGraphicFramePr>
            <a:graphic>
              <a:graphicData uri="http://schemas.openxmlformats.org/drawingml/2006/picture">
                <pic:pic>
                  <pic:nvPicPr>
                    <pic:cNvPr id="0" name="A 44641-2026 karta.png"/>
                    <pic:cNvPicPr/>
                  </pic:nvPicPr>
                  <pic:blipFill>
                    <a:blip r:embed="rId16"/>
                    <a:stretch>
                      <a:fillRect/>
                    </a:stretch>
                  </pic:blipFill>
                  <pic:spPr>
                    <a:xfrm>
                      <a:off x="0" y="0"/>
                      <a:ext cx="5486400" cy="460820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7141736, E 602503 i SWEREF 99 TM.</w:t>
      </w:r>
    </w:p>
    <w:p>
      <w:r>
        <w:t>I och inom 22 meter från avverkningsanmälan finns fynd av 15 naturvårdsarter, varav 8 är rödlistade, 3 är fridlysta, 14 är typiska (T) och 6 är signalarter (S): doftticka (VU, T, §8), gränsticka (VU, T), ostticka (VU, T), harticka (NT, T), lunglav (NT, T), rosenticka (NT, T), skrovellav (NT, T), ullticka (NT, T), bårdlav (S, T), skinnlav (S, T), spindelblomster (S, T, §8), stuplav (S, T), trådticka (S, T),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