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18 meter från avverkningsanmälan finns fynd av 13 naturvårdsarter, varav 12 är rödlistade, 2 är fridlysta och 4 är typiska (T): goliatmusseron (VU, T), gräddporing (VU, T), skrovlig taggsvamp (VU), smalfotad taggsvamp (VU), spadskinn (VU), tajgataggsvamp (VU), torrmusseron (VU), blå taggsvamp (NT, T), orange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