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42193-2024 i Umeå kommun</w:t>
      </w:r>
    </w:p>
    <w:p>
      <w:r>
        <w:t>Denna tillsynsbegäran behandlar höga naturvärden i avverkningsanmälan A 42193-2024 i Umeå kommun som inkom 2024-09-27 och omfattar 2,2 ha.</w:t>
      </w:r>
    </w:p>
    <w:p>
      <w:pPr>
        <w:pStyle w:val="Caption"/>
      </w:pPr>
      <w:r>
        <w:drawing>
          <wp:inline xmlns:a="http://schemas.openxmlformats.org/drawingml/2006/main" xmlns:pic="http://schemas.openxmlformats.org/drawingml/2006/picture">
            <wp:extent cx="5486400" cy="5222449"/>
            <wp:docPr id="1" name="Picture 1"/>
            <wp:cNvGraphicFramePr>
              <a:graphicFrameLocks noChangeAspect="1"/>
            </wp:cNvGraphicFramePr>
            <a:graphic>
              <a:graphicData uri="http://schemas.openxmlformats.org/drawingml/2006/picture">
                <pic:pic>
                  <pic:nvPicPr>
                    <pic:cNvPr id="0" name="A 42193-2024 karta.png"/>
                    <pic:cNvPicPr/>
                  </pic:nvPicPr>
                  <pic:blipFill>
                    <a:blip r:embed="rId16"/>
                    <a:stretch>
                      <a:fillRect/>
                    </a:stretch>
                  </pic:blipFill>
                  <pic:spPr>
                    <a:xfrm>
                      <a:off x="0" y="0"/>
                      <a:ext cx="5486400" cy="5222449"/>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7092705, E 753874 i SWEREF 99 TM.</w:t>
      </w:r>
    </w:p>
    <w:p>
      <w:r>
        <w:t>I och inom 16 meter från avverkningsanmälan finns fynd av 5 naturvårdsarter, varav 5 är rödlistade, 1 är fridlyst och 1 är typisk (T): skrovlig taggsvamp (VU), smalfotad taggsvamp (VU), dropptaggsvamp (NT, T), mjölsvärting (NT)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Mjölsvärting (NT)</w:t>
      </w:r>
      <w:r>
        <w:t xml:space="preserve"> växer i luckig barrskog, huvudsakligen på tallhed och i äldre skog. Mager, äldre tallskog och barrblandskog med lång trädkontinuitet bör undantas från trakthyggesbruk. Mjölsvärtingens lokaler är ofta nyckelbiotoper och bör då sparas i sin helhet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