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17 naturvårdsarter, varav 14 är rödlistade, 6 är fridlysta, 7 är typiska (T) och 2 är signalarter (S): stjärtand (EN, §4), goliatmusseron (VU, T), smalfotad taggsvamp (VU), dropptaggsvamp (NT, T), fjällig taggsvamp s.str. (NT), grantaggsvamp (NT), gravand (NT, §4), göktyta (NT, §4), motaggsvamp (NT, T), sandrottryffel (NT), skräntärna (NT, §4), strandskata (NT, §4), talltagel (NT, T), talltaggsvamp (NT), grovticka (S, T), nästlav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