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24934-2025 i Umeå kommun</w:t>
      </w:r>
    </w:p>
    <w:p>
      <w:r>
        <w:t>Denna tillsynsbegäran behandlar höga naturvärden i avverkningsanmälan A 24934-2025 i Umeå kommun som inkom 2025-05-22 och omfattar 24,9 ha.</w:t>
      </w:r>
    </w:p>
    <w:p>
      <w:pPr>
        <w:pStyle w:val="Caption"/>
      </w:pPr>
      <w:r>
        <w:drawing>
          <wp:inline xmlns:a="http://schemas.openxmlformats.org/drawingml/2006/main" xmlns:pic="http://schemas.openxmlformats.org/drawingml/2006/picture">
            <wp:extent cx="5486400" cy="2669671"/>
            <wp:docPr id="1" name="Picture 1"/>
            <wp:cNvGraphicFramePr>
              <a:graphicFrameLocks noChangeAspect="1"/>
            </wp:cNvGraphicFramePr>
            <a:graphic>
              <a:graphicData uri="http://schemas.openxmlformats.org/drawingml/2006/picture">
                <pic:pic>
                  <pic:nvPicPr>
                    <pic:cNvPr id="0" name="A 24934-2025 karta.png"/>
                    <pic:cNvPicPr/>
                  </pic:nvPicPr>
                  <pic:blipFill>
                    <a:blip r:embed="rId16"/>
                    <a:stretch>
                      <a:fillRect/>
                    </a:stretch>
                  </pic:blipFill>
                  <pic:spPr>
                    <a:xfrm>
                      <a:off x="0" y="0"/>
                      <a:ext cx="5486400" cy="2669671"/>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och har ett svart streck som visar fyndplatsens exakta position. Kartans mittpunktskoordinat är N 7086960, E 769454 i SWEREF 99 TM.</w:t>
      </w:r>
    </w:p>
    <w:p>
      <w:r>
        <w:t>I och inom 8 meter från avverkningsanmälan finns fynd av 21 naturvårdsarter, varav 9 är rödlistade, 7 är fridlysta, 15 är typiska (T) och 7 är signalarter (S): garnlav (VU, T), gränsticka (VU, T), sprickporing (VU), harticka (NT, T), kattfotslav (NT, T), kötticka (NT), lunglav (NT, T), tretåig hackspett (NT, T, §4), ullticka (NT, T), barkticka (S, T), bronshjon (S, T), bårdlav (S, T), spindelblomster (S, T, §8), stuplav (S, T), vedticka (S, T), vågbandad barkbock (S), järpe (T, §4), spillkråka (T, §4), grönsiska (§4), havsörn (§4)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Sprickporing (VU)</w:t>
      </w:r>
      <w:r>
        <w:t>, rödlistad som sårbar, är en sällsynt art som växer på senvuxen gran i lågproduktiva miljöer, ett substrat som nybildas i mycket liten skala i modern produktionsskog. Arten bedöms ha minskat kraftigt, med mer än 30 % över de senaste 20 åren, huvudsakligen på grund av slutavverkningar. I bestånd där arten förekommer måste skogsbruk undvikas. Fler av artens lokaler bör skyddas (SLU Artdatabanken, 2024).</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Kötticka (NT)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Barkticka</w:t>
      </w:r>
      <w:r>
        <w:t xml:space="preserve"> är en vednedbrytare som växer på barken av döda lövträd, främst asp, men någon gång även på björk eller andra trädslag. På sina växtplatser förekommer den gärna tillsammans med flera ovanliga och rödlistade arter, till exempel olika insekter. Barkticka är typisk art för </w:t>
      </w:r>
      <w:r>
        <w:rPr>
          <w:i/>
        </w:rPr>
        <w:t xml:space="preserve">9010 Taiga </w:t>
      </w:r>
      <w:r>
        <w:t xml:space="preserve">och </w:t>
      </w:r>
      <w:r>
        <w:rPr>
          <w:i/>
        </w:rPr>
        <w:t>9030 Landhöjningsskog</w:t>
      </w:r>
      <w:r>
        <w:t xml:space="preserve"> (SLU Artdatabanken, 2025;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gränsticka (VU, T), harticka (NT, T), kattfotslav (NT, T), lunglav (NT, T), tretåig hackspett (NT, T, §4), ullticka (NT, T), barkticka (S, T), bronshjon (S, T), bårdlav (S, T), spindelblomster (S, T, §8), stuplav (S, T), vedticka (S, T), järpe (T, §4)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