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23 naturvårdsarter, varav 17 är rödlistade, 12 är fridlysta, 10 är typiska (T) och 2 är signalarter (S): hornuggla (EN, §4), stjärtand (EN, §4), goliatmusseron (VU, T), smalfotad taggsvamp (VU), dropptaggsvamp (NT, T), fjällig taggsvamp s.str. (NT), grantaggsvamp (NT), gravand (NT, §4), göktyta (NT, §4), motaggsvamp (NT, T), sandrottryffel (NT), skräntärna (NT, §4), sparvuggla (NT, §4), strandskata (NT, §4), talltagel (NT, T), talltaggsvamp (NT), talltita (NT, §4), grovticka (S, T), nästlav (S, T), järpe (T, §4), nattskärra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motaggsvamp (NT, T), talltagel (NT, T), grovticka (S, T), nästlav (S, T), järpe (T, §4), nattskärra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