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4725-2024 i Umeå kommun</w:t>
      </w:r>
    </w:p>
    <w:p>
      <w:r>
        <w:t>Detta klagomål behandlar höga naturvärden i samrådsanmälan S 4725-2024 i Umeå kommun som inkom 2024-11-11 och omfattar 20,1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S 4725-2024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7084404, E 768967 i SWEREF 99 TM.</w:t>
      </w:r>
    </w:p>
    <w:p>
      <w:r>
        <w:t>I och inom 24 meter från samrådsanmälan finns fynd av 18 naturvårdsarter, varav 12 är rödlistade, 5 är fridlysta, 8 är typiska (T) och 3 är signalarter (S): garnlav (VU, T), grenlav (VU), gräddporing (VU, T), kötticka (NT), mjölsvärting (NT), nordtagging (NT), skarp dropptaggsvamp (NT), talltita (NT, §4), tretåig hackspett (NT, T, §4), ullticka (NT, T), vaddporing (NT), äggvaxskivling (NT), bronshjon (S, T), nästlav (S, T), vedticka (S, T), spillkråka (T,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