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42835-2025 i Umeå kommun</w:t>
      </w:r>
    </w:p>
    <w:p>
      <w:r>
        <w:t>Denna tillsynsbegäran behandlar höga naturvärden i avverkningsanmälan A 42835-2025 i Umeå kommun som inkom 2025-09-08 och omfattar 1,1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A 42835-2025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7093696, E 760079 i SWEREF 99 TM.</w:t>
      </w:r>
    </w:p>
    <w:p>
      <w:r>
        <w:t>I och inom 8 meter från avverkningsanmälan finns fynd av 13 naturvårdsarter, varav 4 är rödlistade, 4 är fridlysta, 9 är typiska (T) och 1 är signalart (S): klofibbla (NT), rödvingetrast (NT, §4), talltita (NT, §4), tretåig hackspett (NT, T, §4), björksplintborre (S), bergsslok (T), ekorrbär (T), hultbräken (T), kärrviol (T), liljekonvalj (T), ormbär (T), spillkråka (T, §4)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Bergsslok </w:t>
      </w:r>
      <w:r>
        <w:t xml:space="preserve">är typisk art för </w:t>
      </w:r>
      <w:r>
        <w:rPr>
          <w:i/>
        </w:rPr>
        <w:t>9190 Näringsfattig ekskog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bergsslok (T), ekorrbär (T), hultbräken (T), kärrviol (T), liljekonvalj (T), ormbär (T), spillkråka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