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34496-2025 i Umeå kommun</w:t>
      </w:r>
    </w:p>
    <w:p>
      <w:r>
        <w:t>Denna tillsynsbegäran behandlar höga naturvärden i avverkningsanmälan A 34496-2025 i Umeå kommun som inkom 2025-07-09 och omfattar 4,6 ha.</w:t>
      </w:r>
    </w:p>
    <w:p>
      <w:pPr>
        <w:pStyle w:val="Caption"/>
      </w:pPr>
      <w:r>
        <w:drawing>
          <wp:inline xmlns:a="http://schemas.openxmlformats.org/drawingml/2006/main" xmlns:pic="http://schemas.openxmlformats.org/drawingml/2006/picture">
            <wp:extent cx="5486400" cy="2381211"/>
            <wp:docPr id="1" name="Picture 1"/>
            <wp:cNvGraphicFramePr>
              <a:graphicFrameLocks noChangeAspect="1"/>
            </wp:cNvGraphicFramePr>
            <a:graphic>
              <a:graphicData uri="http://schemas.openxmlformats.org/drawingml/2006/picture">
                <pic:pic>
                  <pic:nvPicPr>
                    <pic:cNvPr id="0" name="A 34496-2025 karta.png"/>
                    <pic:cNvPicPr/>
                  </pic:nvPicPr>
                  <pic:blipFill>
                    <a:blip r:embed="rId16"/>
                    <a:stretch>
                      <a:fillRect/>
                    </a:stretch>
                  </pic:blipFill>
                  <pic:spPr>
                    <a:xfrm>
                      <a:off x="0" y="0"/>
                      <a:ext cx="5486400" cy="2381211"/>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7087894, E 789667 i SWEREF 99 TM.</w:t>
      </w:r>
    </w:p>
    <w:p>
      <w:r>
        <w:t>I och inom 9 meter från avverkningsanmälan finns fynd av 2 naturvårdsarter, varav 1 är rödlistad och 1 är fridlyst: mörk kådsvartspik (VU)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kådsvartspik (VU) </w:t>
      </w:r>
      <w:r>
        <w:t>växer på gammal grankåda i halvöppna barrskogar av naturskogskaraktär med hög och jämn luftfuktighet. Skogsbruksåtgärder som kan påverka markvattennivån och luftfuktigheten negativt på växtplatserna utgör hot. Nybildning av för arten lämpliga substrat i produktionsskogar är sannolikt mycket begränsad och på lång sikt utgör avverkningar av variationsrika och olikåldriga naturskogar med hög och jämn luftfuktighet ett allvarligt hot. Då populationen på varje lokal är liten innebär det en risk för att arten ska försvinna från en enskild lokal p.g.a. slumpfaktorer. Lokaler med mörk kådsvartspik bör undantas från skogsbruksåtgärder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