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i/>
        </w:rPr>
        <w:t xml:space="preserve">Epuraea oblonga </w:t>
      </w:r>
      <w:r>
        <w:rPr>
          <w:b/>
        </w:rPr>
        <w:t>(NT)</w:t>
      </w:r>
      <w:r>
        <w:t xml:space="preserve"> är en skalbagge som lever under bark på barrträd, i gångar av barkborrar och andra vedskalbaggar. Främst i gångsystem av jättebastborre (</w:t>
      </w:r>
      <w:r>
        <w:rPr>
          <w:i/>
        </w:rPr>
        <w:t>Dendroctonus micans</w:t>
      </w:r>
      <w:r>
        <w:t>) på gran, mer sällan i gångar av mindre märgborre (</w:t>
      </w:r>
      <w:r>
        <w:rPr>
          <w:i/>
        </w:rPr>
        <w:t>Tomicus minor</w:t>
      </w:r>
      <w:r>
        <w:t>) på tall. Både larver och fullbildade skalbaggar lever av svamphyfer i gångarna. Fullbildade skalbaggar kan även påträffas i fruktkroppar av andra svampar. Arten påverkas negativt av brist på kontinuitetsskog och en minskning av populationen pågår eller förväntas ske. Minskningen avser kvalitén på artens habitat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