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6725-2024 i Umeå kommun</w:t>
      </w:r>
    </w:p>
    <w:p>
      <w:r>
        <w:t>Denna tillsynsbegäran behandlar höga naturvärden i avverkningsanmälan A 6725-2024 i Umeå kommun som inkom 2024-02-20 och omfattar 6,2 ha.</w:t>
      </w:r>
    </w:p>
    <w:p>
      <w:pPr>
        <w:pStyle w:val="Caption"/>
      </w:pPr>
      <w:r>
        <w:drawing>
          <wp:inline xmlns:a="http://schemas.openxmlformats.org/drawingml/2006/main" xmlns:pic="http://schemas.openxmlformats.org/drawingml/2006/picture">
            <wp:extent cx="4982602" cy="5724000"/>
            <wp:docPr id="1" name="Picture 1"/>
            <wp:cNvGraphicFramePr>
              <a:graphicFrameLocks noChangeAspect="1"/>
            </wp:cNvGraphicFramePr>
            <a:graphic>
              <a:graphicData uri="http://schemas.openxmlformats.org/drawingml/2006/picture">
                <pic:pic>
                  <pic:nvPicPr>
                    <pic:cNvPr id="0" name="A 6725-2024 karta.png"/>
                    <pic:cNvPicPr/>
                  </pic:nvPicPr>
                  <pic:blipFill>
                    <a:blip r:embed="rId16"/>
                    <a:stretch>
                      <a:fillRect/>
                    </a:stretch>
                  </pic:blipFill>
                  <pic:spPr>
                    <a:xfrm>
                      <a:off x="0" y="0"/>
                      <a:ext cx="498260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7093912, E 759803 i SWEREF 99 TM.</w:t>
      </w:r>
    </w:p>
    <w:p>
      <w:r>
        <w:t>I och inom 21 meter från avverkningsanmälan finns fynd av 24 naturvårdsarter, varav 6 är rödlistade, 5 är fridlysta, 15 är typiska (T) och 7 är signalarter (S): cylinderskägglav (EN), gropig skägglav (VU), talltita (NT, §4), ullticka (NT, T), violettgrå tagellav (NT, T), äggvaxskivling (NT), björksplintborre (S), bronshjon (S, T), bårdlav (S, T), nästlav (S, T), thomsons trägnagare (S), vedticka (S, T), vågbandad barkbock (S), bergsslok (T), hultbräken (T), kransmossa (T), ormbär (T), skogsstjärna (T), spillkråka (T, §4), stjärnstarr (T), timmerticka (T), tjäder (T,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Cylinderskägglav (EN)</w:t>
      </w:r>
      <w:r>
        <w:t xml:space="preserve"> växer främst på gran men förekommer även på lövträd i äldre barrskogar av naturskogskaraktär med hög och jämn luftfuktighet. Skogsbruksåtgärder som kan minska luftfuktigheten och sänka markvattennivån på eller i närheten av växtplatserna utgör hot. Lokaler där arten förekommer bör skyddas och lämnas för fri utveckling (SLU Artdatabanken, 2024).</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violettgrå tagellav (NT, T), bronshjon (S, T), bårdlav (S, T), nästlav (S, T), vedticka (S, T), bergsslok (T), hultbräken (T), kransmossa (T), ormbär (T), skogsstjärna (T), spillkråka (T, §4), stjärnstarr (T),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