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38688-2021 i Umeå kommun</w:t>
      </w:r>
    </w:p>
    <w:p>
      <w:r>
        <w:t>Denna tillsynsbegäran behandlar höga naturvärden i avverkningsanmälan A 38688-2021 i Umeå kommun som inkom 2021-07-30 och omfattar 1,6 ha.</w:t>
      </w:r>
    </w:p>
    <w:p>
      <w:pPr>
        <w:pStyle w:val="Caption"/>
      </w:pPr>
      <w:r>
        <w:drawing>
          <wp:inline xmlns:a="http://schemas.openxmlformats.org/drawingml/2006/main" xmlns:pic="http://schemas.openxmlformats.org/drawingml/2006/picture">
            <wp:extent cx="5486400" cy="5548574"/>
            <wp:docPr id="1" name="Picture 1"/>
            <wp:cNvGraphicFramePr>
              <a:graphicFrameLocks noChangeAspect="1"/>
            </wp:cNvGraphicFramePr>
            <a:graphic>
              <a:graphicData uri="http://schemas.openxmlformats.org/drawingml/2006/picture">
                <pic:pic>
                  <pic:nvPicPr>
                    <pic:cNvPr id="0" name="A 38688-2021 karta.png"/>
                    <pic:cNvPicPr/>
                  </pic:nvPicPr>
                  <pic:blipFill>
                    <a:blip r:embed="rId16"/>
                    <a:stretch>
                      <a:fillRect/>
                    </a:stretch>
                  </pic:blipFill>
                  <pic:spPr>
                    <a:xfrm>
                      <a:off x="0" y="0"/>
                      <a:ext cx="5486400" cy="5548574"/>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har ett svart streck som visar fyndplatsens exakta position. Kartans mittpunktskoordinat är N 7089703, E 751022 i SWEREF 99 TM.</w:t>
      </w:r>
    </w:p>
    <w:p>
      <w:r>
        <w:t>I och inom 23 meter från avverkningsanmälan finns fynd av 21 naturvårdsarter, varav 11 är rödlistade, 9 är fridlysta, 5 är typiska (T) och 4 är signalarter (S): drillsnäppa (NT, §4), kricka (NT, §4), nordfladdermus (NT, §4a), skrattmås (NT, §4), springkornsfältmätare (NT), storfläckig kungsnattslända (NT), stubbträfluga (NT), tajgahumla (NT), turkos blåvinge (NT), vitfläckig guldvinge (NT), älvstarr (NT, T), björksplintborre (S), köseven (S), myskbock (S), strutbräken (S, T), bergsslok (T), blåsippa (T, §9), järpe (T, §4), tajgafladdermus (§4a), vattenfladdermus (§4a) och vanlig padda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Springkornsfältmätare (NT)</w:t>
      </w:r>
      <w:r>
        <w:t xml:space="preserve"> är den minst sällsynta av gruppen rödlistade mätarearter som är knutna till springkorn och fjärilen förekommer upp till Västernorrland på isolerade lundlokaler med riklig förekomst av värdväxten. Den uttorkningskänsliga och veka värdväxten springkorn hotas främst av dräneringsåtgärder och kalavverkning samt eventuellt även av den införda växten blekbalsamin. Springkornsfältmätare är en bra signalart för värdefulla livsmiljöer knutna till springkorn. Livsmiljöerna, exempelvis alkärr och albevuxna strandzoner bör aldrig kalavverkas eller beröras av dikningsföretag (SLU Artdatabanken, 2024).</w:t>
      </w:r>
    </w:p>
    <w:p>
      <w:r>
        <w:rPr>
          <w:b/>
        </w:rPr>
        <w:t>Storfläckig kungsnattslända (NT)</w:t>
      </w:r>
      <w:r>
        <w:t xml:space="preserve"> lever i syrgasrikt rinnande vatten med medelhöga pH-värden, ofta omgivna av tät och skuggande blandskog. Arten hotas sannolikt av försurning och strandnära skogsbruk. Vid de vatten som idag hyser arten bör man bilda blandskogsbevuxna skyddszoner längs stränderna samt undvika reglering (SLU Artdatabanken, 2026).</w:t>
      </w:r>
    </w:p>
    <w:p>
      <w:r>
        <w:rPr>
          <w:b/>
        </w:rPr>
        <w:t xml:space="preserve">Stubbträfluga (NT) </w:t>
      </w:r>
      <w:r>
        <w:t>är en liten gulbrun fluga som känns igen på sina tjocka, håriga och mörkfärgade antennborst. Dess larver lever i murken ved, arten har kläckts ur murkna björk- och gråalstammar. Brist på lämpligt substrat för larvutvecklingen begränsar sannolikt artens förekomst. Avverkning och bortrensning av död ved i raviner och strandskogar innebär ett påtagligt hot. Avstå från avverkning och utrensning av undertryckta eller sjuka träd och liggande grenar och stammar (SLU Artdatabanken, 2025).</w:t>
      </w:r>
    </w:p>
    <w:p>
      <w:r>
        <w:rPr>
          <w:b/>
        </w:rPr>
        <w:t xml:space="preserve">Älvstarr (NT) </w:t>
      </w:r>
      <w:r>
        <w:t xml:space="preserve">förekommer sällsynt från Västerbotten och norrut, dock ej i fjällen. Den växer på bäckstränder, källdråg och i gransumpskog och kräver rinnande vatten med god syresättning. Arten tål ej skogliga ingrepp, då den växer på mark som är mycket känslig. Källdråg, sumpskogar och bäckstränder bör undantas från avverkning. Körning med skogsmaskiner på dessa lokaler bör undvikas. Älvstarrförekomsterna bör karteras och rikliga förekomster skyddas. Älvstarr är typisk art för </w:t>
      </w:r>
      <w:r>
        <w:rPr>
          <w:i/>
        </w:rPr>
        <w:t>9750 Svämlövskog</w:t>
      </w:r>
      <w:r>
        <w:t xml:space="preserve"> (SLU Artdatabanken, 2024).</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 xml:space="preserve">Strutbräken </w:t>
      </w:r>
      <w:r>
        <w:t xml:space="preserve">är normalt en mycket bra och tydlig signalart som visar på flera olika fuktiga biotoper med rörligt markvatten som nästan alltid har höga naturvärden. Den växer på skuggiga, fuktiga, näringsrika mullmarker längs bäckdalar, åar, älvar, översilade sluttningar med högörtsgranskog och svämlövskogar med kortvarigt översvämmade sedimentplan. Växtplatserna har ytligt rörligt markvatten och konstant hög luftfuktighet. Arten är känslig för avverkning och dikning.Strutbräken är typisk art för </w:t>
      </w:r>
      <w:r>
        <w:rPr>
          <w:i/>
        </w:rPr>
        <w:t xml:space="preserve">9050 Näringsrik granskog, 9080 Lövsumpskog, 9750 Svämlövskog, 9760 Svämädellövskog </w:t>
      </w:r>
      <w:r>
        <w:t>och</w:t>
      </w:r>
      <w:r>
        <w:rPr>
          <w:i/>
        </w:rPr>
        <w:t xml:space="preserve"> 6430 Högörtängar</w:t>
      </w:r>
      <w:r>
        <w:t xml:space="preserve"> (Nitare &amp; Skogsstyrelsen, 2019; SLU Artdatabanken, 2025).</w:t>
      </w:r>
    </w:p>
    <w:p>
      <w:r>
        <w:rPr>
          <w:b/>
        </w:rPr>
        <w:t xml:space="preserve">Bergsslok </w:t>
      </w:r>
      <w:r>
        <w:t xml:space="preserve">är typisk art för </w:t>
      </w:r>
      <w:r>
        <w:rPr>
          <w:i/>
        </w:rPr>
        <w:t>9190 Näringsfattig ekskog</w:t>
      </w:r>
      <w:r>
        <w:t xml:space="preserve">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Tajgafladdermus (§4a)</w:t>
      </w:r>
      <w:r>
        <w:t xml:space="preserve"> omfattas av bilaga 4 EU:s art- och habitatdirektiv vilket innebär ett strikt skydd för arten och dess livsmiljöer. Tajgafladdermusen är på alla sätt mycket lik den närstående arten mustaschfladdermus och påträffas i alla skogstyper, men förekomsten är störst vid sumpskogar och blöta skogar. Den jagar såväl nära marken som uppe i trädkronorna. Under kolonitiden rör sig tajgafladdermusen inom ett mycket litet område, oftast max 1 km från kolonin och undviker att flyga i öppna områden. För tajgafladdermusen är det särskilt värdefullt att bevara eller skapa sumpskogar och andra blöta skogar med många ihåliga träd. Tajgafladdermus är typisk art för </w:t>
      </w:r>
      <w:r>
        <w:rPr>
          <w:i/>
        </w:rPr>
        <w:t>8310 Grottor</w:t>
      </w:r>
      <w:r>
        <w:t xml:space="preserve"> och </w:t>
      </w:r>
      <w:r>
        <w:rPr>
          <w:i/>
        </w:rPr>
        <w:t>8330 Havsgrottor</w:t>
      </w:r>
      <w:r>
        <w:t xml:space="preserve"> (SLU Artdatabanken, 2024).</w:t>
      </w:r>
    </w:p>
    <w:p>
      <w:r>
        <w:rPr>
          <w:b/>
        </w:rPr>
        <w:t>Vattenfladdermus (§4a)</w:t>
      </w:r>
      <w:r>
        <w:t xml:space="preserve"> omfattas av bilaga 4 EU:s art- och habitatdirektiv vilket innebär ett strikt skydd där arten och dess livsmiljöer ska bevaras. Arten förekommer mest vid vatten, vid både sjöar och vattendrag där den födosöker antingen tätt ovanför vattenytan eller i strandskog. Kolonin kan ligga ganska långt från vatten och den kan ibland jaga i skog flera kilometer från vatten. För vattenfladdermusen bör framförallt åtgärder planeras och vidtas i strandnära områden. Sumpskog och hålträd behöver bevaras och återskapas. Gamla träd med grov bark, skador, håligheter eller döda delar bör lämnas och yngre träd (efterträdare) tillåtas finnas kvar och åldras för att säkra framtida förekomst av lämpliga yngelmiljöer. Övervintringsplatser måste skyddas effektivt från störningar. Vattenfladdermus är typisk art för </w:t>
      </w:r>
      <w:r>
        <w:rPr>
          <w:i/>
        </w:rPr>
        <w:t>8310 Grottor</w:t>
      </w:r>
      <w:r>
        <w:t xml:space="preserve"> och </w:t>
      </w:r>
      <w:r>
        <w:rPr>
          <w:i/>
        </w:rPr>
        <w:t>8330 Havsgrottor</w:t>
      </w:r>
      <w:r>
        <w:t xml:space="preserve">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älvstarr (NT, T), strutbräken (S, T), bergsslok (T), blåsippa (T, §9) och järpe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