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11826-2026 i Umeå kommun</w:t>
      </w:r>
    </w:p>
    <w:p>
      <w:r>
        <w:t>Denna tillsynsbegäran behandlar höga naturvärden i avverkningsanmälan A 11826-2026 i Umeå kommun som inkom 2026-03-04 och omfattar 0,6 ha.</w:t>
      </w:r>
    </w:p>
    <w:p>
      <w:pPr>
        <w:pStyle w:val="Caption"/>
      </w:pPr>
      <w:r>
        <w:drawing>
          <wp:inline xmlns:a="http://schemas.openxmlformats.org/drawingml/2006/main" xmlns:pic="http://schemas.openxmlformats.org/drawingml/2006/picture">
            <wp:extent cx="5486400" cy="4416438"/>
            <wp:docPr id="1" name="Picture 1"/>
            <wp:cNvGraphicFramePr>
              <a:graphicFrameLocks noChangeAspect="1"/>
            </wp:cNvGraphicFramePr>
            <a:graphic>
              <a:graphicData uri="http://schemas.openxmlformats.org/drawingml/2006/picture">
                <pic:pic>
                  <pic:nvPicPr>
                    <pic:cNvPr id="0" name="A 11826-2026 karta.png"/>
                    <pic:cNvPicPr/>
                  </pic:nvPicPr>
                  <pic:blipFill>
                    <a:blip r:embed="rId16"/>
                    <a:stretch>
                      <a:fillRect/>
                    </a:stretch>
                  </pic:blipFill>
                  <pic:spPr>
                    <a:xfrm>
                      <a:off x="0" y="0"/>
                      <a:ext cx="5486400" cy="441643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7084670, E 767078 i SWEREF 99 TM.</w:t>
      </w:r>
    </w:p>
    <w:p>
      <w:r>
        <w:t>I och inom 14 meter från avverkningsanmälan finns fynd av 4 naturvårdsarter, varav 2 är rödlistade, 1 är fridlyst, 1 är typisk (T) och 2 är signalarter (S): småflikig brosklav (NT, T), talltita (NT, §4), thomsons trägnagare (S)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