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58680-2024 i Umeå kommun</w:t>
      </w:r>
    </w:p>
    <w:p>
      <w:r>
        <w:t>Denna tillsynsbegäran behandlar höga naturvärden i avverkningsanmälan A 58680-2024 i Umeå kommun som inkom 2024-12-09 och omfattar 1,6 ha.</w:t>
      </w:r>
    </w:p>
    <w:p>
      <w:pPr>
        <w:pStyle w:val="Caption"/>
      </w:pPr>
      <w:r>
        <w:drawing>
          <wp:inline xmlns:a="http://schemas.openxmlformats.org/drawingml/2006/main" xmlns:pic="http://schemas.openxmlformats.org/drawingml/2006/picture">
            <wp:extent cx="5486400" cy="4896282"/>
            <wp:docPr id="1" name="Picture 1"/>
            <wp:cNvGraphicFramePr>
              <a:graphicFrameLocks noChangeAspect="1"/>
            </wp:cNvGraphicFramePr>
            <a:graphic>
              <a:graphicData uri="http://schemas.openxmlformats.org/drawingml/2006/picture">
                <pic:pic>
                  <pic:nvPicPr>
                    <pic:cNvPr id="0" name="A 58680-2024 karta.png"/>
                    <pic:cNvPicPr/>
                  </pic:nvPicPr>
                  <pic:blipFill>
                    <a:blip r:embed="rId16"/>
                    <a:stretch>
                      <a:fillRect/>
                    </a:stretch>
                  </pic:blipFill>
                  <pic:spPr>
                    <a:xfrm>
                      <a:off x="0" y="0"/>
                      <a:ext cx="5486400" cy="489628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7088515, E 780083 i SWEREF 99 TM.</w:t>
      </w:r>
    </w:p>
    <w:p>
      <w:r>
        <w:t>Inom 21 meter från avverkningsanmälan finns fynd av 2 naturvårdsarter, varav 1 är rödlistad och 1 är fridlyst: finflikig brosklav (VU)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Finflikig brosklav (VU)</w:t>
      </w:r>
      <w:r>
        <w:t xml:space="preserve"> förekommer i skog på låglänta, plana havsstränder. Den växer dels på stammar av lövträd, framförallt på äldre gråalar i gråalbårdens övre del, dels på de nedre döda grenarna av granar i isolerade grankloner alldeles innanför stranden. Avverkning och gallring av skog vid stränder med finflikig brosklav utgör ett hot och några av de större lokalerna har blivit negativt påverkade av avverkning, fritidsbebyggelse och vägdragningar. Alla förekomster av finflikig brosklav måste skyddas genom att albården mot havet lämnas kvar tillsammans med en väl tilltagen skyddszon av bakomvarande granskog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