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4001-2024 i Umeå kommun</w:t>
      </w:r>
    </w:p>
    <w:p>
      <w:r>
        <w:t>Detta klagomål behandlar höga naturvärden i samrådsanmälan S 4001-2024 i Umeå kommun som inkom 2024-10-04 och omfattar 2,6 ha.</w:t>
      </w:r>
    </w:p>
    <w:p>
      <w:pPr>
        <w:pStyle w:val="Caption"/>
      </w:pPr>
      <w:r>
        <w:drawing>
          <wp:inline xmlns:a="http://schemas.openxmlformats.org/drawingml/2006/main" xmlns:pic="http://schemas.openxmlformats.org/drawingml/2006/picture">
            <wp:extent cx="5486400" cy="4455882"/>
            <wp:docPr id="1" name="Picture 1"/>
            <wp:cNvGraphicFramePr>
              <a:graphicFrameLocks noChangeAspect="1"/>
            </wp:cNvGraphicFramePr>
            <a:graphic>
              <a:graphicData uri="http://schemas.openxmlformats.org/drawingml/2006/picture">
                <pic:pic>
                  <pic:nvPicPr>
                    <pic:cNvPr id="0" name="S 4001-2024 karta.png"/>
                    <pic:cNvPicPr/>
                  </pic:nvPicPr>
                  <pic:blipFill>
                    <a:blip r:embed="rId16"/>
                    <a:stretch>
                      <a:fillRect/>
                    </a:stretch>
                  </pic:blipFill>
                  <pic:spPr>
                    <a:xfrm>
                      <a:off x="0" y="0"/>
                      <a:ext cx="5486400" cy="445588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7092593, E 752903 i SWEREF 99 TM.</w:t>
      </w:r>
    </w:p>
    <w:p>
      <w:r>
        <w:t>I och inom 24 meter från samrådsanmälan finns fynd av 10 naturvårdsarter, varav 9 är rödlistade, 5 är typiska (T) och 1 är signalart (S): goliatmusseron (VU, T), skrovlig taggsvamp (VU), smalfotad taggsvamp (VU), torrmusseron (VU), blå taggsvamp (NT, T), dropptaggsvamp (NT, T), motaggsvamp (NT, T), orange taggsvamp (NT, T), skarp dropptaggsvamp (NT)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