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21611-2025 i Umeå kommun</w:t>
      </w:r>
    </w:p>
    <w:p>
      <w:r>
        <w:t>Detta dokument behandlar höga naturvärden i avverkningsanmälan A 21611-2025 i Umeå kommun. Denna avverkningsanmälan inkom 2025-05-06 09:25:45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rynkskinn (VU), smal trollknäppare (VU), tallbit (VU, §4), baltiskt skogsfly (NT), doftskinn (NT), garnlav (NT), granticka (NT), grå blåbärsfältmätare (NT), mindre bockrotsplattmal (NT), murvägstekel (NT), skogsfältmätare (NT), tiofläckig vedsvampbagge (NT), mörk kådsvartspik (DD), mörk husmossa (S), skuggblåslav (S) och vedticka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122775"/>
            <wp:docPr id="1" name="Picture 1"/>
            <wp:cNvGraphicFramePr>
              <a:graphicFrameLocks noChangeAspect="1"/>
            </wp:cNvGraphicFramePr>
            <a:graphic>
              <a:graphicData uri="http://schemas.openxmlformats.org/drawingml/2006/picture">
                <pic:pic>
                  <pic:nvPicPr>
                    <pic:cNvPr id="0" name="A 21611-2025 karta.png"/>
                    <pic:cNvPicPr/>
                  </pic:nvPicPr>
                  <pic:blipFill>
                    <a:blip r:embed="rId16"/>
                    <a:stretch>
                      <a:fillRect/>
                    </a:stretch>
                  </pic:blipFill>
                  <pic:spPr>
                    <a:xfrm>
                      <a:off x="0" y="0"/>
                      <a:ext cx="5486400" cy="112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7087590, E 789962 i SWEREF 99 TM.</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Skogsfältmätare (NT)</w:t>
      </w:r>
      <w:r>
        <w:t xml:space="preserve"> hör hemma i barrblandskogar där larven lever på blåbär. Arten har minskat kraftigt under de senaste 10–15 åren och fjärilen har försvunnit från många av sina tidigare förekomster. Minskningen är av allt att döma störst i den södra halvan av utbredningsområdet. Det storskaliga trakthyggesbruket kan förklara huvuddelen av artens minskningar. Om skogsfältmätare på längre sikt ska vara livskraftig är det nödvändigt att äldre barrskogar undantas från kalavverkning i betydligt högre omfattning än idag. Det är förmodligen även nödvändigt att sådana skogar undantas från storskaligt skogsbruk på landskapsnivå för att kunna upprätthålla tillräcklig konnektivitet i form av spridningskorridorer mellan habitaten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Smal trollknäppare (NT)</w:t>
      </w:r>
      <w:r>
        <w:t xml:space="preserve"> är en skalbagge vars larvutveckling sker under bark och i rötad ved på lågor och stubbar av främst tall, men även av gran, asp och björk. Den fullbildade skalbaggen uppehåller sig under barken eller i sprickor i veden där den kan vara svår att få syn på. Arten missgynnas av substratbrist i det brukade skogslandskapet och det föreligger indikation på eller misstanke om populationsminskning. Minskningen avser kvalitén på artens habitat och antalet lokalområden (SLU Artdatabanken, 2026).</w:t>
      </w:r>
    </w:p>
    <w:p>
      <w:r>
        <w:rPr>
          <w:b/>
        </w:rPr>
        <w:t xml:space="preserve">Tiofläckig vedsvampbagge (NT) </w:t>
      </w:r>
      <w:r>
        <w:t>är en skalbagge vars larvutveckling sker i fruktkroppar av olika vedsvampar på lövträd. I de södra delarna av utbredningsområdet ofta i svavelticka på ek och fnöskticka eller sprängticka på bok, norrut ofta fnöskticka eller sprängticka på björk. Arten är också funnen talrikt i bokdyna på bokved. Arten hotas av bristen på lämpligt utvecklingssubstrat. Spara mer lövrika bestånd med gammal björk och gråal i skogslandskapet, speciellt i den norra delen av landet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