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41407-2022 i Umeå kommun</w:t>
      </w:r>
    </w:p>
    <w:p>
      <w:r>
        <w:t>Denna tillsynsbegäran behandlar höga naturvärden i avverkningsanmälan A 41407-2022 i Umeå kommun som inkom 2022-09-22 och omfattar 5,6 ha.</w:t>
      </w:r>
    </w:p>
    <w:p>
      <w:pPr>
        <w:pStyle w:val="Caption"/>
      </w:pPr>
      <w:r>
        <w:drawing>
          <wp:inline xmlns:a="http://schemas.openxmlformats.org/drawingml/2006/main" xmlns:pic="http://schemas.openxmlformats.org/drawingml/2006/picture">
            <wp:extent cx="5399443" cy="5724000"/>
            <wp:docPr id="1" name="Picture 1"/>
            <wp:cNvGraphicFramePr>
              <a:graphicFrameLocks noChangeAspect="1"/>
            </wp:cNvGraphicFramePr>
            <a:graphic>
              <a:graphicData uri="http://schemas.openxmlformats.org/drawingml/2006/picture">
                <pic:pic>
                  <pic:nvPicPr>
                    <pic:cNvPr id="0" name="A 41407-2022 karta.png"/>
                    <pic:cNvPicPr/>
                  </pic:nvPicPr>
                  <pic:blipFill>
                    <a:blip r:embed="rId16"/>
                    <a:stretch>
                      <a:fillRect/>
                    </a:stretch>
                  </pic:blipFill>
                  <pic:spPr>
                    <a:xfrm>
                      <a:off x="0" y="0"/>
                      <a:ext cx="5399443"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7076723, E 761602 i SWEREF 99 TM.</w:t>
      </w:r>
    </w:p>
    <w:p>
      <w:r>
        <w:t>I och inom 9 meter från avverkningsanmälan finns fynd av 11 naturvårdsarter, varav 7 är rödlistade, 4 är fridlysta, 8 är typiska (T) och 1 är signalart (S): garnlav (VU, T), kötticka (NT), rosenticka (NT, T), stjärntagging (NT, T), tretåig hackspett (NT, T, §4), ullticka (NT, T), älg (NT), vedticka (S, T), järpe (T, §4), spillkråka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rosenticka (NT, T), stjärntagging (NT, T), tretåig hackspett (NT, T, §4), ullticka (NT, T), vedticka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