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42025-2024 i Umeå kommun</w:t>
      </w:r>
    </w:p>
    <w:p>
      <w:r>
        <w:t>Detta klagomål behandlar höga naturvärden i avverkningsanmälan A 42025-2024 i Umeå kommun som inkom 2024-09-26 och omfattar 9,0 ha.</w:t>
      </w:r>
    </w:p>
    <w:p>
      <w:pPr>
        <w:pStyle w:val="Caption"/>
      </w:pPr>
      <w:r>
        <w:drawing>
          <wp:inline xmlns:a="http://schemas.openxmlformats.org/drawingml/2006/main" xmlns:pic="http://schemas.openxmlformats.org/drawingml/2006/picture">
            <wp:extent cx="5486400" cy="5192284"/>
            <wp:docPr id="1" name="Picture 1"/>
            <wp:cNvGraphicFramePr>
              <a:graphicFrameLocks noChangeAspect="1"/>
            </wp:cNvGraphicFramePr>
            <a:graphic>
              <a:graphicData uri="http://schemas.openxmlformats.org/drawingml/2006/picture">
                <pic:pic>
                  <pic:nvPicPr>
                    <pic:cNvPr id="0" name="A 42025-2024 karta.png"/>
                    <pic:cNvPicPr/>
                  </pic:nvPicPr>
                  <pic:blipFill>
                    <a:blip r:embed="rId16"/>
                    <a:stretch>
                      <a:fillRect/>
                    </a:stretch>
                  </pic:blipFill>
                  <pic:spPr>
                    <a:xfrm>
                      <a:off x="0" y="0"/>
                      <a:ext cx="5486400" cy="519228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7092917, E 754324 i SWEREF 99 TM.</w:t>
      </w:r>
    </w:p>
    <w:p>
      <w:r>
        <w:t>I och inom 23 meter från avverkningsanmälan finns fynd av 12 naturvårdsarter, varav 10 är rödlistade, 2 är fridlysta, 4 är typiska (T) och 1 är signalart (S): goliatmusseron (VU, T), spadskinn (VU), torrmusseron (VU), blå taggsvamp (NT, T), mjölsvärting (NT), motaggsvamp (NT, T), orange taggsvamp (NT, T), svartvit taggsvamp (NT), talltaggsvamp (NT), talltita (NT, §4), zontaggsvamp (S)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