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470-2025 i Umeå kommun</w:t>
      </w:r>
    </w:p>
    <w:p>
      <w:r>
        <w:t>Detta klagomål behandlar höga naturvärden i samrådsanmälan S 470-2025 i Umeå kommun som inkom 2025-02-13 och omfattar 439,9 ha.</w:t>
      </w:r>
    </w:p>
    <w:p>
      <w:pPr>
        <w:pStyle w:val="Caption"/>
      </w:pPr>
      <w:r>
        <w:drawing>
          <wp:inline xmlns:a="http://schemas.openxmlformats.org/drawingml/2006/main" xmlns:pic="http://schemas.openxmlformats.org/drawingml/2006/picture">
            <wp:extent cx="4793604" cy="5724000"/>
            <wp:docPr id="1" name="Picture 1"/>
            <wp:cNvGraphicFramePr>
              <a:graphicFrameLocks noChangeAspect="1"/>
            </wp:cNvGraphicFramePr>
            <a:graphic>
              <a:graphicData uri="http://schemas.openxmlformats.org/drawingml/2006/picture">
                <pic:pic>
                  <pic:nvPicPr>
                    <pic:cNvPr id="0" name="S 470-2025 karta.png"/>
                    <pic:cNvPicPr/>
                  </pic:nvPicPr>
                  <pic:blipFill>
                    <a:blip r:embed="rId16"/>
                    <a:stretch>
                      <a:fillRect/>
                    </a:stretch>
                  </pic:blipFill>
                  <pic:spPr>
                    <a:xfrm>
                      <a:off x="0" y="0"/>
                      <a:ext cx="4793604"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7104852, E 756497 i SWEREF 99 TM.</w:t>
      </w:r>
    </w:p>
    <w:p>
      <w:r>
        <w:t>I och inom 24 meter från samrådsanmälan finns fynd av 38 naturvårdsarter, varav 28 är rödlistade, 7 är fridlysta, 20 är typiska (T) och 5 är signalarter (S): fläckporing (VU, T), garnlav (VU, T), goliatmusseron (VU, T), gräddporing (VU, T), lakritsmusseron (VU, T), raggbock (VU, T), skrovlig taggsvamp (VU), smalfotad taggsvamp (VU), tajgataggsvamp (VU), blanksvart spiklav (NT), blå taggsvamp (NT, T), dropptaggsvamp (NT, T), kolflarnlav (NT, T), lunglav (NT, T), motaggsvamp (NT, T), månlåsbräken (NT), mörk kolflarnlav (NT), nordfladdermus (NT, §4a), nordtagging (NT), orange taggsvamp (NT, T), skarp dropptaggsvamp (NT), skrovellav (NT, T), talltita (NT, §4), vaddporing (NT), vedskivlav (NT, T), violettgrå tagellav (NT, T), vitgrynig nållav (NT), vitplätt (NT), bronshjon (S, T), granbarkgnagare (S, T), större aspvedbock (S), vedticka (S, T), vågbandad barkbock (S), järpe (T, §4), tjäder (T, §4), grönsiska (§4), skogsödla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38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