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53969-2024 i Umeå kommun</w:t>
      </w:r>
    </w:p>
    <w:p>
      <w:r>
        <w:t>Detta dokument behandlar höga naturvärden i avverkningsanmälan A 53969-2024 i Umeå kommun. Denna avverkningsanmälan inkom 2024-11-20 och omfattar 3,8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och rödlistade arter.</w:t>
      </w:r>
    </w:p>
    <w:p>
      <w:pPr>
        <w:pStyle w:val="Heading1"/>
      </w:pPr>
      <w:r>
        <w:t>Naturvårdsarter</w:t>
      </w:r>
    </w:p>
    <w:p>
      <w:r>
        <w:t>I avverkningsanmälan har följande 10 naturvårdsarter hittats: knärot (VU, §8), ulltickeporing (VU), lunglav (NT), spillkråka (NT, §4), ullticka (NT), skinnlav (S), spindelblomster (S, §8), stuplav (S), vedticka (S) och kungsfågel (§4). Av dessa är 5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00102"/>
            <wp:docPr id="1" name="Picture 1"/>
            <wp:cNvGraphicFramePr>
              <a:graphicFrameLocks noChangeAspect="1"/>
            </wp:cNvGraphicFramePr>
            <a:graphic>
              <a:graphicData uri="http://schemas.openxmlformats.org/drawingml/2006/picture">
                <pic:pic>
                  <pic:nvPicPr>
                    <pic:cNvPr id="0" name="A 53969-2024 karta.png"/>
                    <pic:cNvPicPr/>
                  </pic:nvPicPr>
                  <pic:blipFill>
                    <a:blip r:embed="rId16"/>
                    <a:stretch>
                      <a:fillRect/>
                    </a:stretch>
                  </pic:blipFill>
                  <pic:spPr>
                    <a:xfrm>
                      <a:off x="0" y="0"/>
                      <a:ext cx="5486400" cy="490010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7107864, E 745336 i SWEREF 99 TM.</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rPr>
          <w:b/>
        </w:rPr>
        <w:t xml:space="preserve">Skinnlav </w:t>
      </w:r>
      <w:r>
        <w:t>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(SLU Artdatabanken, 2024;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r>
        <w:rPr>
          <w:b/>
        </w:rPr>
        <w:t xml:space="preserve">Ulltickeporing </w:t>
      </w:r>
      <w:r>
        <w:rPr>
          <w:b/>
          <w:i/>
        </w:rPr>
        <w:t>Skeletocutis brevispora</w:t>
      </w:r>
      <w:r>
        <w:rPr>
          <w:b/>
        </w:rPr>
        <w:t xml:space="preserve"> (VU)</w:t>
      </w:r>
      <w:r>
        <w:t>, rödlistad som sårbar, växer på ullticka (NT) i naturskogsartade granskogar. Avverkning av naturskogslika miljöer och av grova granar där ulltickeporing förekommer är ett direkt hot mot artens fortlevnad. Alla skogliga åtgärder som innebär att lågor och döda eller skadade träd tas bort missgynnar arten. På sikt är minskad tillgång till lämpligt substrat och krympande areal av naturskog ett hot, framförallt råder brist på grov ved som lågor i sena nedbrytningsstadier. Ytterligare fragmentering av skogslandskapet minskar artens möjligheter till spridning. Gamla granskogar som hyser arten undantas helt från skogsbruk (SLU Artdatabanken, 2024).</w:t>
      </w:r>
    </w:p>
    <w:p>
      <w:pPr>
        <w:pStyle w:val="Heading1"/>
      </w:pPr>
      <w:r>
        <w:t>Fridlysta arter</w:t>
      </w:r>
    </w:p>
    <w:p>
      <w:r>
        <w:t>Följande fridlysta arter har sina livsmiljöer och växtplatser i den avverkningsanmälda skogen: knärot (VU, §8), spillkråka (NT, §4), spindelblomster (S, §8) och kungsfågel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28 fyndplatser för knärot registrerade på Artportalen. Figur 2 visar gränserna för buffertzoner på 50 m, som behöver lämnas kring fyndplatserna för att knärotslokalerna inte ska försvinna vid en avverkning. Av det avverkningsanmälda området överlappar 2.46 ha med buffertzonerna och får av detta skäl inte avverkas.</w:t>
      </w:r>
    </w:p>
    <w:p>
      <w:pPr>
        <w:pStyle w:val="Caption"/>
      </w:pPr>
      <w:r>
        <w:drawing>
          <wp:inline xmlns:a="http://schemas.openxmlformats.org/drawingml/2006/main" xmlns:pic="http://schemas.openxmlformats.org/drawingml/2006/picture">
            <wp:extent cx="5486400" cy="5997939"/>
            <wp:docPr id="2" name="Picture 2"/>
            <wp:cNvGraphicFramePr>
              <a:graphicFrameLocks noChangeAspect="1"/>
            </wp:cNvGraphicFramePr>
            <a:graphic>
              <a:graphicData uri="http://schemas.openxmlformats.org/drawingml/2006/picture">
                <pic:pic>
                  <pic:nvPicPr>
                    <pic:cNvPr id="0" name="A 53969-2024 karta knärot.png"/>
                    <pic:cNvPicPr/>
                  </pic:nvPicPr>
                  <pic:blipFill>
                    <a:blip r:embed="rId17"/>
                    <a:stretch>
                      <a:fillRect/>
                    </a:stretch>
                  </pic:blipFill>
                  <pic:spPr>
                    <a:xfrm>
                      <a:off x="0" y="0"/>
                      <a:ext cx="5486400" cy="5997939"/>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7107864, E 745336 i SWEREF 99 TM.</w:t>
      </w:r>
    </w:p>
    <w:p>
      <w:pPr>
        <w:pStyle w:val="Caption"/>
      </w:pP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(Nitare &amp; Skogsstyrelsen, 2019).</w:t>
      </w:r>
    </w:p>
    <w:p>
      <w:r>
        <w:t>I BILAGA 1 finns mer detaljerad information om ekologi samt krav på livsmiljö hos fridlysta arter.</w:t>
      </w:r>
    </w:p>
    <w:p>
      <w:r>
        <w:br w:type="page"/>
      </w:r>
    </w:p>
    <w:p>
      <w:pPr>
        <w:pStyle w:val="Title"/>
      </w:pPr>
      <w:r>
        <w:t>BILAGA 1 –</w:t>
        <w:br/>
        <w:t>Fridlysta och rödlistade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Ulltickeporing – ekologi samt krav på livsmiljön</w:t>
      </w:r>
    </w:p>
    <w:p>
      <w:r>
        <w:t xml:space="preserve">Ulltickeporing </w:t>
      </w:r>
      <w:r>
        <w:rPr>
          <w:i/>
        </w:rPr>
        <w:t>Skeletocutis brevispora</w:t>
      </w:r>
      <w:r>
        <w:t xml:space="preserve"> (VU), rödlistad som sårbar, växer på ullticka (NT) i naturskogsartade granskogar. Avverkning av naturskogslika miljöer och av grova granar där ulltickeporing förekommer är ett direkt hot mot artens fortlevnad Alla skogliga åtgärder som innebär att lågor och döda eller skadade träd tas bort missgynnar arten. På sikt är minskad tillgång till lämpligt substrat och krympande areal av naturskog ett hot, framförallt råder brist på grov ved som lågor i sena nedbrytningsstadier. Ytterligare fragmentering av skogslandskapet minskar artens möjligheter till spridning. Gamla granskogar som hyser arten undantas helt från skogsbruk (SLU Artdatabanken, 2024).</w:t>
      </w:r>
    </w:p>
    <w:p>
      <w:r>
        <w:t xml:space="preserve">Ulltickeporingen har nyligen delats upp i tre olika arter: </w:t>
      </w:r>
      <w:r>
        <w:rPr>
          <w:i/>
        </w:rPr>
        <w:t xml:space="preserve">Skeletocutis brevispora </w:t>
      </w:r>
      <w:r>
        <w:t>(ulltickeporing)</w:t>
      </w:r>
      <w:r>
        <w:rPr>
          <w:i/>
        </w:rPr>
        <w:t>, Skeletocutis delicata och Skeletocutis exilis</w:t>
      </w:r>
      <w:r>
        <w:t xml:space="preserve"> (Miettinen &amp; Niemelä, 2018). Skeletocutis delicata och Skeletocutis exilis står för närvarande (2020) som ej bedömda i rödlistan.</w:t>
      </w:r>
    </w:p>
    <w:p>
      <w:pPr>
        <w:pStyle w:val="Heading2"/>
      </w:pPr>
      <w:r>
        <w:t>Referenser – ulltickeporing</w:t>
      </w:r>
    </w:p>
    <w:p>
      <w:r>
        <w:t xml:space="preserve">Miettinen, O. &amp; Niemelä, T., 2018. </w:t>
      </w:r>
      <w:r>
        <w:rPr>
          <w:i/>
        </w:rPr>
        <w:t>Two new temperate polypore species of Skeletocutis (Polyporales, Basidiomycota)</w:t>
      </w:r>
      <w:r>
        <w:t>. Ann. Bot. Fennici 55: 195–206.</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2025-06-04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