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18 naturvårdsarter, varav 14 är rödlistade, 7 är fridlysta, 8 är typiska (T) och 2 är signalarter (S): stjärtand (EN, §4), goliatmusseron (VU, T), smalfotad taggsvamp (VU), dropptaggsvamp (NT, T), fjällig taggsvamp s.str. (NT), grantaggsvamp (NT), gravand (NT, §4), göktyta (NT, §4), motaggsvamp (NT, T), sandrottryffel (NT), skräntärna (NT, §4), strandskata (NT, §4), talltagel (NT, T), talltaggsvamp (NT), grovticka (S, T), nästlav (S, T), järpe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motaggsvamp (NT, T), talltagel (NT, T), grovticka (S, T), nästlav (S, T), järpe (T, §4)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