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21611-2025 i Umeå kommun</w:t>
      </w:r>
    </w:p>
    <w:p>
      <w:r>
        <w:t>Detta dokument behandlar höga naturvärden i avverkningsanmälan A 21611-2025 i Umeå kommun. Denna avverkningsanmälan inkom 2025-05-06 09:25:45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smal trollknäppare (VU), tallbit (VU, §4), baltiskt skogsfly (NT), doftskinn (NT), garnlav (NT), granticka (NT), grå blåbärsfältmätare (NT), mindre bockrotsplattmal (NT), murvägstekel (NT), skogsfältmätare (NT), tiofläckig vedsvampbagge (NT), mörk kådsvartspik (DD), mörk husmossa (S), skuggblåslav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2775"/>
            <wp:docPr id="1" name="Picture 1"/>
            <wp:cNvGraphicFramePr>
              <a:graphicFrameLocks noChangeAspect="1"/>
            </wp:cNvGraphicFramePr>
            <a:graphic>
              <a:graphicData uri="http://schemas.openxmlformats.org/drawingml/2006/picture">
                <pic:pic>
                  <pic:nvPicPr>
                    <pic:cNvPr id="0" name="A 21611-2025 karta.png"/>
                    <pic:cNvPicPr/>
                  </pic:nvPicPr>
                  <pic:blipFill>
                    <a:blip r:embed="rId16"/>
                    <a:stretch>
                      <a:fillRect/>
                    </a:stretch>
                  </pic:blipFill>
                  <pic:spPr>
                    <a:xfrm>
                      <a:off x="0" y="0"/>
                      <a:ext cx="5486400" cy="112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7087590, E 789962 i SWEREF 99 TM.</w:t>
      </w:r>
    </w:p>
    <w:p>
      <w:r>
        <w:rPr>
          <w:b/>
        </w:rPr>
        <w:t>Baltiskt skogsfly (NT)</w:t>
      </w:r>
      <w:r>
        <w:t xml:space="preserve"> förekommer i blåbärsgranskogar, särskilt i äldre lavrika barrskogar där den lokalt kan uppträda talrikt. Arten har minskat kraftigt sedan millennieskiftet. Minskningen är störst i den södra halvan av utbredningsområdet men även längre norrut har minskningar kunnat observeras. Det främsta hotet är kalhyggesbruk och det är viktigt att äldre barrskogar med lång kontinuitet bevaras. Vid avverkning är det viktigt att skogspartier sparas och att korridorer bevaras så att arterna kan förflytta sig i det skogslandskap som blir kvar efter en naturanpassad avverkning som tar hänsyn till naturvärdena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