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38683-2021 i Umeå kommun</w:t>
      </w:r>
    </w:p>
    <w:p>
      <w:r>
        <w:t>Detta dokument behandlar höga naturvärden i avverkningsanmälan A 38683-2021 i Umeå kommun. Denna avverkningsanmälan inkom 2021-07-30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springkornsfältmätare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683-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7089851, E 750893 i SWEREF 99 TM.</w:t>
      </w:r>
    </w:p>
    <w:p>
      <w:r>
        <w:rPr>
          <w:b/>
        </w:rPr>
        <w:t>Springkornsfältmätare (NT)</w:t>
      </w:r>
      <w:r>
        <w:t xml:space="preserve"> är den minst sällsynta av gruppen rödlistade mätarearter som är knutna till springkorn och fjärilen förekommer upp till Västernorrland på isolerade lundlokaler med riklig förekomst av värdväxten. Den uttorkningskänsliga och veka värdväxten springkorn hotas främst av dräneringsåtgärder och kalavverkning samt eventuellt även av den införda växten blekbalsamin. Springkornsfältmätare är en bra signalart för värdefulla livsmiljöer knutna till springkorn. Livsmiljöerna, exempelvis alkärr och albevuxna strandzoner bör aldrig kalavverkas eller beröras av dikningsföretag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